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6F" w:rsidRDefault="008F6D06">
      <w:r>
        <w:rPr>
          <w:rFonts w:ascii="Times New Roman" w:hAnsi="Times New Roman"/>
          <w:noProof/>
          <w:sz w:val="24"/>
          <w:szCs w:val="24"/>
          <w:lang w:eastAsia="en-GB"/>
        </w:rPr>
        <w:drawing>
          <wp:anchor distT="0" distB="0" distL="114300" distR="114300" simplePos="0" relativeHeight="251659264" behindDoc="1" locked="0" layoutInCell="1" allowOverlap="1">
            <wp:simplePos x="0" y="0"/>
            <wp:positionH relativeFrom="column">
              <wp:posOffset>4795520</wp:posOffset>
            </wp:positionH>
            <wp:positionV relativeFrom="paragraph">
              <wp:posOffset>140335</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anchor>
        </w:drawing>
      </w:r>
    </w:p>
    <w:p w:rsidR="00B7686F" w:rsidRDefault="00D50DE9" w:rsidP="00745E3B"/>
    <w:p w:rsidR="00B7686F" w:rsidRDefault="008F6D06" w:rsidP="00745E3B">
      <w:pPr>
        <w:spacing w:line="240" w:lineRule="auto"/>
        <w:ind w:firstLine="720"/>
        <w:contextualSpacing/>
        <w:jc w:val="right"/>
      </w:pPr>
      <w:r>
        <w:tab/>
        <w:t xml:space="preserve">  </w:t>
      </w:r>
    </w:p>
    <w:p w:rsidR="00B7686F" w:rsidRDefault="008935E9" w:rsidP="008935E9">
      <w:pPr>
        <w:spacing w:line="240" w:lineRule="auto"/>
        <w:ind w:firstLine="720"/>
        <w:contextualSpacing/>
        <w:jc w:val="center"/>
        <w:rPr>
          <w:rFonts w:ascii="Arial" w:hAnsi="Arial" w:cs="Arial"/>
          <w:b/>
          <w:color w:val="1F497D"/>
          <w:sz w:val="24"/>
          <w:szCs w:val="24"/>
        </w:rPr>
      </w:pPr>
      <w:r>
        <w:rPr>
          <w:rFonts w:ascii="Arial" w:hAnsi="Arial" w:cs="Arial"/>
          <w:b/>
          <w:color w:val="1F497D"/>
          <w:sz w:val="24"/>
          <w:szCs w:val="24"/>
        </w:rPr>
        <w:t xml:space="preserve">                                                                   </w:t>
      </w:r>
      <w:r w:rsidR="008F6D06">
        <w:rPr>
          <w:rFonts w:ascii="Arial" w:hAnsi="Arial" w:cs="Arial"/>
          <w:b/>
          <w:color w:val="1F497D"/>
          <w:sz w:val="24"/>
          <w:szCs w:val="24"/>
        </w:rPr>
        <w:t>East of England</w:t>
      </w:r>
    </w:p>
    <w:p w:rsidR="00B7686F" w:rsidRDefault="008F6D06" w:rsidP="00745E3B">
      <w:pPr>
        <w:tabs>
          <w:tab w:val="left" w:pos="7455"/>
        </w:tabs>
        <w:rPr>
          <w:rFonts w:ascii="Arial" w:hAnsi="Arial" w:cs="Arial"/>
          <w:b/>
          <w:color w:val="1F497D"/>
          <w:sz w:val="24"/>
          <w:szCs w:val="24"/>
        </w:rPr>
      </w:pPr>
      <w:r>
        <w:rPr>
          <w:rFonts w:ascii="Arial" w:hAnsi="Arial" w:cs="Arial"/>
          <w:b/>
          <w:color w:val="1F497D"/>
          <w:sz w:val="24"/>
          <w:szCs w:val="24"/>
        </w:rPr>
        <w:t xml:space="preserve">                               </w:t>
      </w:r>
      <w:r w:rsidR="008935E9">
        <w:rPr>
          <w:rFonts w:ascii="Arial" w:hAnsi="Arial" w:cs="Arial"/>
          <w:b/>
          <w:color w:val="1F497D"/>
          <w:sz w:val="24"/>
          <w:szCs w:val="24"/>
        </w:rPr>
        <w:t xml:space="preserve">                                </w:t>
      </w:r>
      <w:r>
        <w:rPr>
          <w:rFonts w:ascii="Arial" w:hAnsi="Arial" w:cs="Arial"/>
          <w:b/>
          <w:color w:val="1F497D"/>
          <w:sz w:val="24"/>
          <w:szCs w:val="24"/>
        </w:rPr>
        <w:t>Critical Care Operational Delivery Network</w:t>
      </w:r>
    </w:p>
    <w:p w:rsidR="00B7686F" w:rsidRDefault="00D50DE9"/>
    <w:p w:rsidR="00745E3B" w:rsidRDefault="00745E3B"/>
    <w:p w:rsidR="00745E3B" w:rsidRDefault="008F6D06" w:rsidP="00745E3B">
      <w:pPr>
        <w:spacing w:line="240" w:lineRule="auto"/>
        <w:ind w:firstLine="720"/>
        <w:contextualSpacing/>
        <w:jc w:val="right"/>
      </w:pPr>
      <w:r>
        <w:t xml:space="preserve">  </w:t>
      </w:r>
    </w:p>
    <w:p w:rsidR="00173A1C" w:rsidRDefault="008F6D06" w:rsidP="007B7F57">
      <w:pPr>
        <w:spacing w:line="240" w:lineRule="auto"/>
        <w:ind w:firstLine="720"/>
        <w:contextualSpacing/>
        <w:jc w:val="right"/>
        <w:rPr>
          <w:rFonts w:ascii="Arial" w:hAnsi="Arial" w:cs="Arial"/>
          <w:b/>
          <w:color w:val="1F497D" w:themeColor="text2"/>
          <w:sz w:val="24"/>
          <w:szCs w:val="24"/>
        </w:rPr>
      </w:pPr>
      <w:r>
        <w:t xml:space="preserve"> </w:t>
      </w:r>
      <w:r>
        <w:tab/>
      </w:r>
    </w:p>
    <w:p w:rsidR="004929DE" w:rsidRDefault="00D50DE9" w:rsidP="00745E3B">
      <w:pPr>
        <w:tabs>
          <w:tab w:val="left" w:pos="7455"/>
        </w:tabs>
        <w:rPr>
          <w:rFonts w:ascii="Arial" w:hAnsi="Arial" w:cs="Arial"/>
          <w:b/>
          <w:color w:val="1F497D" w:themeColor="text2"/>
          <w:sz w:val="24"/>
          <w:szCs w:val="24"/>
        </w:rPr>
      </w:pPr>
    </w:p>
    <w:p w:rsidR="004929DE" w:rsidRDefault="00D50DE9" w:rsidP="004929DE">
      <w:pPr>
        <w:tabs>
          <w:tab w:val="left" w:pos="7455"/>
        </w:tabs>
        <w:jc w:val="center"/>
        <w:rPr>
          <w:rFonts w:ascii="Verdana" w:hAnsi="Verdana" w:cs="Arial"/>
          <w:b/>
          <w:color w:val="1F497D" w:themeColor="text2"/>
          <w:sz w:val="24"/>
          <w:szCs w:val="24"/>
        </w:rPr>
      </w:pPr>
    </w:p>
    <w:p w:rsidR="004929DE" w:rsidRDefault="00D50DE9" w:rsidP="004929DE">
      <w:pPr>
        <w:tabs>
          <w:tab w:val="left" w:pos="7455"/>
        </w:tabs>
        <w:jc w:val="center"/>
        <w:rPr>
          <w:rFonts w:ascii="Verdana" w:hAnsi="Verdana" w:cs="Arial"/>
          <w:b/>
          <w:color w:val="1F497D" w:themeColor="text2"/>
          <w:sz w:val="24"/>
          <w:szCs w:val="24"/>
        </w:rPr>
      </w:pPr>
    </w:p>
    <w:p w:rsidR="004929DE" w:rsidRPr="004929DE" w:rsidRDefault="00D50DE9" w:rsidP="004929DE">
      <w:pPr>
        <w:tabs>
          <w:tab w:val="left" w:pos="7455"/>
        </w:tabs>
        <w:jc w:val="center"/>
        <w:rPr>
          <w:rFonts w:ascii="Verdana" w:hAnsi="Verdana" w:cs="Arial"/>
          <w:b/>
          <w:color w:val="1F497D" w:themeColor="text2"/>
          <w:sz w:val="32"/>
          <w:szCs w:val="32"/>
        </w:rPr>
      </w:pPr>
    </w:p>
    <w:p w:rsidR="004929DE" w:rsidRPr="00C47DC3" w:rsidRDefault="008F6D06" w:rsidP="004929DE">
      <w:pPr>
        <w:tabs>
          <w:tab w:val="left" w:pos="7455"/>
        </w:tabs>
        <w:jc w:val="center"/>
        <w:rPr>
          <w:rFonts w:ascii="Verdana" w:hAnsi="Verdana" w:cs="Arial"/>
          <w:b/>
          <w:sz w:val="28"/>
          <w:szCs w:val="28"/>
        </w:rPr>
      </w:pPr>
      <w:r w:rsidRPr="00C47DC3">
        <w:rPr>
          <w:rFonts w:ascii="Verdana" w:hAnsi="Verdana" w:cs="Arial"/>
          <w:b/>
          <w:sz w:val="28"/>
          <w:szCs w:val="28"/>
        </w:rPr>
        <w:t>EAST OF ENGLAND</w:t>
      </w:r>
    </w:p>
    <w:p w:rsidR="004929DE" w:rsidRPr="00C47DC3" w:rsidRDefault="008F6D06" w:rsidP="004929DE">
      <w:pPr>
        <w:tabs>
          <w:tab w:val="left" w:pos="7455"/>
        </w:tabs>
        <w:jc w:val="center"/>
        <w:rPr>
          <w:rFonts w:ascii="Verdana" w:hAnsi="Verdana" w:cs="Arial"/>
          <w:b/>
          <w:sz w:val="28"/>
          <w:szCs w:val="28"/>
        </w:rPr>
      </w:pPr>
      <w:r w:rsidRPr="00C47DC3">
        <w:rPr>
          <w:rFonts w:ascii="Verdana" w:hAnsi="Verdana" w:cs="Arial"/>
          <w:b/>
          <w:sz w:val="28"/>
          <w:szCs w:val="28"/>
        </w:rPr>
        <w:t>CRITICAL CARE OPERATIONAL DELIVERY NETWORK</w:t>
      </w:r>
    </w:p>
    <w:p w:rsidR="004929DE" w:rsidRPr="00C47DC3" w:rsidRDefault="00D50DE9" w:rsidP="004929DE">
      <w:pPr>
        <w:tabs>
          <w:tab w:val="left" w:pos="7455"/>
        </w:tabs>
        <w:jc w:val="center"/>
        <w:rPr>
          <w:rFonts w:ascii="Verdana" w:hAnsi="Verdana" w:cs="Arial"/>
          <w:b/>
          <w:sz w:val="24"/>
          <w:szCs w:val="24"/>
        </w:rPr>
      </w:pPr>
    </w:p>
    <w:p w:rsidR="004929DE" w:rsidRPr="00C47DC3" w:rsidRDefault="00D50DE9" w:rsidP="004929DE">
      <w:pPr>
        <w:tabs>
          <w:tab w:val="left" w:pos="7455"/>
        </w:tabs>
        <w:jc w:val="center"/>
        <w:rPr>
          <w:rFonts w:ascii="Verdana" w:hAnsi="Verdana" w:cs="Arial"/>
          <w:b/>
          <w:sz w:val="24"/>
          <w:szCs w:val="24"/>
        </w:rPr>
      </w:pPr>
    </w:p>
    <w:p w:rsidR="004929DE" w:rsidRPr="00C47DC3" w:rsidRDefault="008F6D06" w:rsidP="004929DE">
      <w:pPr>
        <w:tabs>
          <w:tab w:val="left" w:pos="7455"/>
        </w:tabs>
        <w:jc w:val="center"/>
        <w:rPr>
          <w:rFonts w:ascii="Verdana" w:hAnsi="Verdana" w:cs="Arial"/>
          <w:b/>
          <w:sz w:val="28"/>
          <w:szCs w:val="28"/>
        </w:rPr>
      </w:pPr>
      <w:r>
        <w:rPr>
          <w:rFonts w:ascii="Verdana" w:hAnsi="Verdana" w:cs="Arial"/>
          <w:b/>
          <w:sz w:val="28"/>
          <w:szCs w:val="28"/>
        </w:rPr>
        <w:t xml:space="preserve">Right Care, Right Place, Right Time </w:t>
      </w:r>
    </w:p>
    <w:p w:rsidR="004929DE" w:rsidRPr="00C47DC3" w:rsidRDefault="008F6D06" w:rsidP="004929DE">
      <w:pPr>
        <w:tabs>
          <w:tab w:val="left" w:pos="7455"/>
        </w:tabs>
        <w:jc w:val="center"/>
        <w:rPr>
          <w:rFonts w:ascii="Verdana" w:hAnsi="Verdana" w:cs="Arial"/>
          <w:b/>
          <w:sz w:val="28"/>
          <w:szCs w:val="28"/>
        </w:rPr>
      </w:pPr>
      <w:r w:rsidRPr="00C47DC3">
        <w:rPr>
          <w:rFonts w:ascii="Verdana" w:hAnsi="Verdana" w:cs="Arial"/>
          <w:b/>
          <w:sz w:val="28"/>
          <w:szCs w:val="28"/>
        </w:rPr>
        <w:t xml:space="preserve">ADULT CRITICAL CARE </w:t>
      </w:r>
    </w:p>
    <w:p w:rsidR="004929DE" w:rsidRPr="00C47DC3" w:rsidRDefault="008F6D06" w:rsidP="004929DE">
      <w:pPr>
        <w:tabs>
          <w:tab w:val="left" w:pos="7455"/>
        </w:tabs>
        <w:jc w:val="center"/>
        <w:rPr>
          <w:rFonts w:ascii="Verdana" w:hAnsi="Verdana" w:cs="Arial"/>
          <w:b/>
          <w:sz w:val="28"/>
          <w:szCs w:val="28"/>
        </w:rPr>
      </w:pPr>
      <w:r w:rsidRPr="00C47DC3">
        <w:rPr>
          <w:rFonts w:ascii="Verdana" w:hAnsi="Verdana" w:cs="Arial"/>
          <w:b/>
          <w:sz w:val="28"/>
          <w:szCs w:val="28"/>
        </w:rPr>
        <w:t>REPATRIATION POLICY</w:t>
      </w:r>
    </w:p>
    <w:p w:rsidR="004929DE" w:rsidRPr="00C47DC3" w:rsidRDefault="00D50DE9" w:rsidP="004929DE">
      <w:pPr>
        <w:tabs>
          <w:tab w:val="left" w:pos="7455"/>
        </w:tabs>
        <w:jc w:val="center"/>
        <w:rPr>
          <w:rFonts w:ascii="Verdana" w:hAnsi="Verdana" w:cs="Arial"/>
          <w:b/>
          <w:sz w:val="24"/>
          <w:szCs w:val="24"/>
        </w:rPr>
      </w:pPr>
    </w:p>
    <w:p w:rsidR="004929DE" w:rsidRDefault="00D50DE9" w:rsidP="004929DE">
      <w:pPr>
        <w:tabs>
          <w:tab w:val="left" w:pos="7455"/>
        </w:tabs>
        <w:jc w:val="center"/>
        <w:rPr>
          <w:rFonts w:ascii="Verdana" w:hAnsi="Verdana" w:cs="Arial"/>
          <w:b/>
          <w:color w:val="1F497D" w:themeColor="text2"/>
          <w:sz w:val="24"/>
          <w:szCs w:val="24"/>
        </w:rPr>
      </w:pPr>
    </w:p>
    <w:p w:rsidR="004929DE" w:rsidRDefault="00241FE1" w:rsidP="004929DE">
      <w:pPr>
        <w:tabs>
          <w:tab w:val="left" w:pos="7455"/>
        </w:tabs>
        <w:jc w:val="center"/>
        <w:rPr>
          <w:rFonts w:ascii="Verdana" w:hAnsi="Verdana" w:cs="Arial"/>
          <w:b/>
          <w:color w:val="1F497D" w:themeColor="text2"/>
          <w:sz w:val="24"/>
          <w:szCs w:val="24"/>
        </w:rPr>
      </w:pPr>
      <w:r>
        <w:rPr>
          <w:rFonts w:ascii="Verdana" w:hAnsi="Verdana" w:cs="Arial"/>
          <w:b/>
          <w:noProof/>
          <w:color w:val="1F497D" w:themeColor="text2"/>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1801082</wp:posOffset>
                </wp:positionH>
                <wp:positionV relativeFrom="paragraph">
                  <wp:posOffset>292321</wp:posOffset>
                </wp:positionV>
                <wp:extent cx="3697108" cy="962108"/>
                <wp:effectExtent l="0" t="0" r="1778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08" cy="962108"/>
                        </a:xfrm>
                        <a:prstGeom prst="rect">
                          <a:avLst/>
                        </a:prstGeom>
                        <a:solidFill>
                          <a:srgbClr val="FFFFFF"/>
                        </a:solidFill>
                        <a:ln w="9525">
                          <a:solidFill>
                            <a:srgbClr val="000000"/>
                          </a:solidFill>
                          <a:miter lim="800000"/>
                          <a:headEnd/>
                          <a:tailEnd/>
                        </a:ln>
                      </wps:spPr>
                      <wps:txbx>
                        <w:txbxContent>
                          <w:p w:rsidR="00602099" w:rsidRPr="00C47DC3" w:rsidRDefault="004C58F3" w:rsidP="004929DE">
                            <w:pPr>
                              <w:jc w:val="center"/>
                              <w:rPr>
                                <w:rFonts w:ascii="Verdana" w:hAnsi="Verdana"/>
                                <w:b/>
                              </w:rPr>
                            </w:pPr>
                            <w:r>
                              <w:rPr>
                                <w:rFonts w:ascii="Verdana" w:hAnsi="Verdana"/>
                                <w:b/>
                              </w:rPr>
                              <w:t>Capacity Management System</w:t>
                            </w:r>
                            <w:r w:rsidR="008F6D06" w:rsidRPr="00C47DC3">
                              <w:rPr>
                                <w:rFonts w:ascii="Verdana" w:hAnsi="Verdana"/>
                                <w:b/>
                              </w:rPr>
                              <w:t xml:space="preserve"> log on to</w:t>
                            </w:r>
                          </w:p>
                          <w:p w:rsidR="00602099" w:rsidRPr="00C47DC3" w:rsidRDefault="008F6D06" w:rsidP="004929DE">
                            <w:pPr>
                              <w:jc w:val="center"/>
                              <w:rPr>
                                <w:rFonts w:ascii="Verdana" w:hAnsi="Verdana"/>
                                <w:b/>
                              </w:rPr>
                            </w:pPr>
                            <w:r w:rsidRPr="00C47DC3">
                              <w:rPr>
                                <w:rFonts w:ascii="Verdana" w:hAnsi="Verdana"/>
                                <w:b/>
                              </w:rPr>
                              <w:t>www.pathwaysdos.nhs.uk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8pt;margin-top:23pt;width:291.1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K4KAIAAFA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">
                <v:textbox>
                  <w:txbxContent>
                    <w:p w:rsidR="00602099" w:rsidRPr="00C47DC3" w:rsidRDefault="004C58F3" w:rsidP="004929DE">
                      <w:pPr>
                        <w:jc w:val="center"/>
                        <w:rPr>
                          <w:rFonts w:ascii="Verdana" w:hAnsi="Verdana"/>
                          <w:b/>
                        </w:rPr>
                      </w:pPr>
                      <w:r>
                        <w:rPr>
                          <w:rFonts w:ascii="Verdana" w:hAnsi="Verdana"/>
                          <w:b/>
                        </w:rPr>
                        <w:t>Capacity Management System</w:t>
                      </w:r>
                      <w:r w:rsidR="008F6D06" w:rsidRPr="00C47DC3">
                        <w:rPr>
                          <w:rFonts w:ascii="Verdana" w:hAnsi="Verdana"/>
                          <w:b/>
                        </w:rPr>
                        <w:t xml:space="preserve"> log on to</w:t>
                      </w:r>
                    </w:p>
                    <w:p w:rsidR="00602099" w:rsidRPr="00C47DC3" w:rsidRDefault="008F6D06" w:rsidP="004929DE">
                      <w:pPr>
                        <w:jc w:val="center"/>
                        <w:rPr>
                          <w:rFonts w:ascii="Verdana" w:hAnsi="Verdana"/>
                          <w:b/>
                        </w:rPr>
                      </w:pPr>
                      <w:r w:rsidRPr="00C47DC3">
                        <w:rPr>
                          <w:rFonts w:ascii="Verdana" w:hAnsi="Verdana"/>
                          <w:b/>
                        </w:rPr>
                        <w:t>www.pathwaysdos.nhs.uk</w:t>
                      </w:r>
                    </w:p>
                  </w:txbxContent>
                </v:textbox>
              </v:shape>
            </w:pict>
          </mc:Fallback>
        </mc:AlternateContent>
      </w:r>
    </w:p>
    <w:p w:rsidR="004929DE" w:rsidRDefault="00D50DE9" w:rsidP="004929DE">
      <w:pPr>
        <w:tabs>
          <w:tab w:val="left" w:pos="7455"/>
        </w:tabs>
        <w:jc w:val="center"/>
        <w:rPr>
          <w:rFonts w:ascii="Verdana" w:hAnsi="Verdana" w:cs="Arial"/>
          <w:b/>
          <w:color w:val="1F497D" w:themeColor="text2"/>
          <w:sz w:val="24"/>
          <w:szCs w:val="24"/>
        </w:rPr>
      </w:pPr>
    </w:p>
    <w:p w:rsidR="004929DE" w:rsidRDefault="00D50DE9" w:rsidP="004929DE">
      <w:pPr>
        <w:tabs>
          <w:tab w:val="left" w:pos="7455"/>
        </w:tabs>
        <w:jc w:val="center"/>
        <w:rPr>
          <w:rFonts w:ascii="Verdana" w:hAnsi="Verdana" w:cs="Arial"/>
          <w:b/>
          <w:color w:val="1F497D" w:themeColor="text2"/>
          <w:sz w:val="24"/>
          <w:szCs w:val="24"/>
        </w:rPr>
      </w:pPr>
    </w:p>
    <w:p w:rsidR="004929DE" w:rsidRDefault="00D50DE9" w:rsidP="004929DE">
      <w:pPr>
        <w:tabs>
          <w:tab w:val="left" w:pos="7455"/>
        </w:tabs>
        <w:jc w:val="center"/>
        <w:rPr>
          <w:rFonts w:ascii="Verdana" w:hAnsi="Verdana" w:cs="Arial"/>
          <w:b/>
          <w:color w:val="1F497D" w:themeColor="text2"/>
          <w:sz w:val="24"/>
          <w:szCs w:val="24"/>
        </w:rPr>
      </w:pPr>
    </w:p>
    <w:p w:rsidR="004929DE" w:rsidRPr="004929DE" w:rsidRDefault="00D50DE9" w:rsidP="004929DE">
      <w:pPr>
        <w:tabs>
          <w:tab w:val="left" w:pos="7455"/>
        </w:tabs>
        <w:jc w:val="center"/>
        <w:rPr>
          <w:rFonts w:ascii="Verdana" w:hAnsi="Verdana" w:cs="Arial"/>
          <w:b/>
          <w:color w:val="1F497D" w:themeColor="text2"/>
          <w:sz w:val="24"/>
          <w:szCs w:val="24"/>
        </w:rPr>
      </w:pPr>
    </w:p>
    <w:p w:rsidR="00F86915" w:rsidRDefault="00D50DE9" w:rsidP="00745E3B">
      <w:pPr>
        <w:tabs>
          <w:tab w:val="left" w:pos="7455"/>
        </w:tabs>
        <w:rPr>
          <w:rFonts w:ascii="Arial" w:hAnsi="Arial" w:cs="Arial"/>
          <w:b/>
          <w:color w:val="1F497D" w:themeColor="text2"/>
          <w:sz w:val="24"/>
          <w:szCs w:val="24"/>
        </w:rPr>
      </w:pPr>
    </w:p>
    <w:p w:rsidR="00C47DC3" w:rsidRDefault="00D50DE9" w:rsidP="00C811DD">
      <w:pPr>
        <w:tabs>
          <w:tab w:val="left" w:pos="7455"/>
        </w:tabs>
        <w:jc w:val="center"/>
        <w:rPr>
          <w:rFonts w:ascii="Verdana" w:hAnsi="Verdana"/>
          <w:sz w:val="28"/>
          <w:szCs w:val="28"/>
        </w:rPr>
      </w:pPr>
    </w:p>
    <w:p w:rsidR="00B76387" w:rsidRDefault="008F6D06" w:rsidP="00C811DD">
      <w:pPr>
        <w:tabs>
          <w:tab w:val="left" w:pos="7455"/>
        </w:tabs>
        <w:jc w:val="center"/>
        <w:rPr>
          <w:rFonts w:ascii="Verdana" w:hAnsi="Verdana"/>
          <w:b/>
          <w:sz w:val="28"/>
          <w:szCs w:val="28"/>
        </w:rPr>
      </w:pPr>
      <w:r w:rsidRPr="00C47DC3">
        <w:rPr>
          <w:rFonts w:ascii="Verdana" w:hAnsi="Verdana"/>
          <w:b/>
          <w:sz w:val="28"/>
          <w:szCs w:val="28"/>
        </w:rPr>
        <w:t>East of England Critical Care Operational Delivery Network</w:t>
      </w:r>
    </w:p>
    <w:p w:rsidR="00C47DC3" w:rsidRDefault="00D50DE9" w:rsidP="00C811DD">
      <w:pPr>
        <w:tabs>
          <w:tab w:val="left" w:pos="7455"/>
        </w:tabs>
        <w:jc w:val="center"/>
        <w:rPr>
          <w:rFonts w:ascii="Verdana" w:hAnsi="Verdana"/>
          <w:b/>
          <w:sz w:val="28"/>
          <w:szCs w:val="28"/>
        </w:rPr>
      </w:pPr>
    </w:p>
    <w:p w:rsidR="00C47DC3" w:rsidRPr="00C47DC3" w:rsidRDefault="00D50DE9" w:rsidP="00C811DD">
      <w:pPr>
        <w:tabs>
          <w:tab w:val="left" w:pos="7455"/>
        </w:tabs>
        <w:jc w:val="center"/>
        <w:rPr>
          <w:rFonts w:ascii="Verdana" w:hAnsi="Verdana"/>
          <w:b/>
          <w:sz w:val="28"/>
          <w:szCs w:val="28"/>
        </w:rPr>
      </w:pPr>
    </w:p>
    <w:p w:rsidR="00C811DD" w:rsidRPr="00C47DC3" w:rsidRDefault="008F6D06" w:rsidP="00C811DD">
      <w:pPr>
        <w:tabs>
          <w:tab w:val="left" w:pos="7455"/>
        </w:tabs>
        <w:jc w:val="center"/>
        <w:rPr>
          <w:rFonts w:ascii="Verdana" w:hAnsi="Verdana"/>
          <w:b/>
          <w:sz w:val="28"/>
          <w:szCs w:val="28"/>
        </w:rPr>
      </w:pPr>
      <w:r w:rsidRPr="00C47DC3">
        <w:rPr>
          <w:rFonts w:ascii="Verdana" w:hAnsi="Verdana"/>
          <w:b/>
          <w:sz w:val="28"/>
          <w:szCs w:val="28"/>
        </w:rPr>
        <w:t>Repatriation Policy</w:t>
      </w:r>
    </w:p>
    <w:p w:rsidR="00C811DD" w:rsidRDefault="00D50DE9" w:rsidP="00C811DD">
      <w:pPr>
        <w:tabs>
          <w:tab w:val="left" w:pos="7455"/>
        </w:tabs>
        <w:jc w:val="center"/>
        <w:rPr>
          <w:rFonts w:ascii="Verdana" w:hAnsi="Verdana"/>
          <w:b/>
          <w:sz w:val="28"/>
          <w:szCs w:val="28"/>
        </w:rPr>
      </w:pPr>
    </w:p>
    <w:p w:rsidR="00C47DC3" w:rsidRPr="00C47DC3" w:rsidRDefault="00D50DE9" w:rsidP="00C811DD">
      <w:pPr>
        <w:tabs>
          <w:tab w:val="left" w:pos="7455"/>
        </w:tabs>
        <w:jc w:val="center"/>
        <w:rPr>
          <w:rFonts w:ascii="Verdana" w:hAnsi="Verdana"/>
          <w:b/>
          <w:sz w:val="28"/>
          <w:szCs w:val="28"/>
        </w:rPr>
      </w:pPr>
    </w:p>
    <w:p w:rsidR="00C811DD" w:rsidRPr="00C47DC3" w:rsidRDefault="008F6D06" w:rsidP="00C811DD">
      <w:pPr>
        <w:tabs>
          <w:tab w:val="left" w:pos="7455"/>
        </w:tabs>
        <w:jc w:val="center"/>
        <w:rPr>
          <w:rFonts w:ascii="Verdana" w:hAnsi="Verdana"/>
          <w:b/>
          <w:sz w:val="28"/>
          <w:szCs w:val="28"/>
        </w:rPr>
      </w:pPr>
      <w:r w:rsidRPr="00C47DC3">
        <w:rPr>
          <w:rFonts w:ascii="Verdana" w:hAnsi="Verdana"/>
          <w:b/>
          <w:sz w:val="28"/>
          <w:szCs w:val="28"/>
        </w:rPr>
        <w:t>Documentation Control</w:t>
      </w:r>
    </w:p>
    <w:p w:rsidR="00C811DD" w:rsidRDefault="00D50DE9" w:rsidP="00C811DD">
      <w:pPr>
        <w:tabs>
          <w:tab w:val="left" w:pos="7455"/>
        </w:tabs>
        <w:jc w:val="center"/>
        <w:rPr>
          <w:rFonts w:ascii="Verdana" w:hAnsi="Verdana"/>
          <w:sz w:val="28"/>
          <w:szCs w:val="28"/>
        </w:rPr>
      </w:pPr>
    </w:p>
    <w:p w:rsidR="005939C4" w:rsidRDefault="00D50DE9" w:rsidP="00C811DD">
      <w:pPr>
        <w:tabs>
          <w:tab w:val="left" w:pos="7455"/>
        </w:tabs>
        <w:jc w:val="center"/>
        <w:rPr>
          <w:rFonts w:ascii="Verdana" w:hAnsi="Verdana"/>
          <w:sz w:val="28"/>
          <w:szCs w:val="28"/>
        </w:rPr>
      </w:pPr>
    </w:p>
    <w:p w:rsidR="005939C4" w:rsidRDefault="00D50DE9" w:rsidP="00C811DD">
      <w:pPr>
        <w:tabs>
          <w:tab w:val="left" w:pos="7455"/>
        </w:tabs>
        <w:jc w:val="center"/>
        <w:rPr>
          <w:rFonts w:ascii="Verdana" w:hAnsi="Verdana"/>
          <w:sz w:val="28"/>
          <w:szCs w:val="28"/>
        </w:rPr>
      </w:pPr>
    </w:p>
    <w:tbl>
      <w:tblPr>
        <w:tblStyle w:val="TableGrid"/>
        <w:tblW w:w="0" w:type="auto"/>
        <w:tblInd w:w="1088" w:type="dxa"/>
        <w:tblLook w:val="04A0" w:firstRow="1" w:lastRow="0" w:firstColumn="1" w:lastColumn="0" w:noHBand="0" w:noVBand="1"/>
      </w:tblPr>
      <w:tblGrid>
        <w:gridCol w:w="4621"/>
        <w:gridCol w:w="4621"/>
      </w:tblGrid>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Reference</w:t>
            </w:r>
          </w:p>
        </w:tc>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EOECCODN/1</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Approving Body</w:t>
            </w:r>
          </w:p>
        </w:tc>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Acute Trusts East of England</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Implementation Date</w:t>
            </w:r>
          </w:p>
        </w:tc>
        <w:tc>
          <w:tcPr>
            <w:tcW w:w="4621" w:type="dxa"/>
          </w:tcPr>
          <w:p w:rsidR="00C811DD" w:rsidRDefault="004C58F3" w:rsidP="00221A9D">
            <w:pPr>
              <w:tabs>
                <w:tab w:val="left" w:pos="7455"/>
              </w:tabs>
              <w:jc w:val="center"/>
              <w:rPr>
                <w:rFonts w:ascii="Verdana" w:hAnsi="Verdana"/>
                <w:sz w:val="28"/>
                <w:szCs w:val="28"/>
              </w:rPr>
            </w:pPr>
            <w:r>
              <w:rPr>
                <w:rFonts w:ascii="Verdana" w:hAnsi="Verdana"/>
                <w:sz w:val="28"/>
                <w:szCs w:val="28"/>
              </w:rPr>
              <w:t>October 2014</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Version</w:t>
            </w:r>
          </w:p>
        </w:tc>
        <w:tc>
          <w:tcPr>
            <w:tcW w:w="4621" w:type="dxa"/>
          </w:tcPr>
          <w:p w:rsidR="00C811DD" w:rsidRDefault="008F6D06" w:rsidP="00221A9D">
            <w:pPr>
              <w:tabs>
                <w:tab w:val="left" w:pos="1110"/>
              </w:tabs>
              <w:jc w:val="center"/>
              <w:rPr>
                <w:rFonts w:ascii="Verdana" w:hAnsi="Verdana"/>
                <w:sz w:val="28"/>
                <w:szCs w:val="28"/>
              </w:rPr>
            </w:pPr>
            <w:r>
              <w:rPr>
                <w:rFonts w:ascii="Verdana" w:hAnsi="Verdana"/>
                <w:sz w:val="28"/>
                <w:szCs w:val="28"/>
              </w:rPr>
              <w:t>Version 3.1</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Consultation Undertaken</w:t>
            </w:r>
          </w:p>
        </w:tc>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Acute Trusts, Critical Care Units, Specialised Commissioners, ODN Board</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Target Audience</w:t>
            </w:r>
          </w:p>
        </w:tc>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Acute Trusts in the East of England</w:t>
            </w:r>
          </w:p>
        </w:tc>
      </w:tr>
      <w:tr w:rsidR="00FD479A">
        <w:tc>
          <w:tcPr>
            <w:tcW w:w="4621" w:type="dxa"/>
          </w:tcPr>
          <w:p w:rsidR="00FD479A" w:rsidRDefault="008F6D06" w:rsidP="00221A9D">
            <w:pPr>
              <w:tabs>
                <w:tab w:val="left" w:pos="7455"/>
              </w:tabs>
              <w:jc w:val="center"/>
              <w:rPr>
                <w:rFonts w:ascii="Verdana" w:hAnsi="Verdana"/>
                <w:sz w:val="28"/>
                <w:szCs w:val="28"/>
              </w:rPr>
            </w:pPr>
            <w:r>
              <w:rPr>
                <w:rFonts w:ascii="Verdana" w:hAnsi="Verdana"/>
                <w:sz w:val="28"/>
                <w:szCs w:val="28"/>
              </w:rPr>
              <w:t>Agreed Date</w:t>
            </w:r>
          </w:p>
        </w:tc>
        <w:tc>
          <w:tcPr>
            <w:tcW w:w="4621" w:type="dxa"/>
          </w:tcPr>
          <w:p w:rsidR="00FD479A" w:rsidRDefault="004C58F3" w:rsidP="00221A9D">
            <w:pPr>
              <w:tabs>
                <w:tab w:val="left" w:pos="7455"/>
              </w:tabs>
              <w:jc w:val="center"/>
              <w:rPr>
                <w:rFonts w:ascii="Verdana" w:hAnsi="Verdana"/>
                <w:sz w:val="28"/>
                <w:szCs w:val="28"/>
              </w:rPr>
            </w:pPr>
            <w:r>
              <w:rPr>
                <w:rFonts w:ascii="Verdana" w:hAnsi="Verdana"/>
                <w:sz w:val="28"/>
                <w:szCs w:val="28"/>
              </w:rPr>
              <w:t>September 2014</w:t>
            </w:r>
          </w:p>
        </w:tc>
      </w:tr>
      <w:tr w:rsidR="00C811DD">
        <w:tc>
          <w:tcPr>
            <w:tcW w:w="4621" w:type="dxa"/>
          </w:tcPr>
          <w:p w:rsidR="00C811DD" w:rsidRDefault="008F6D06" w:rsidP="00221A9D">
            <w:pPr>
              <w:tabs>
                <w:tab w:val="left" w:pos="7455"/>
              </w:tabs>
              <w:jc w:val="center"/>
              <w:rPr>
                <w:rFonts w:ascii="Verdana" w:hAnsi="Verdana"/>
                <w:sz w:val="28"/>
                <w:szCs w:val="28"/>
              </w:rPr>
            </w:pPr>
            <w:r>
              <w:rPr>
                <w:rFonts w:ascii="Verdana" w:hAnsi="Verdana"/>
                <w:sz w:val="28"/>
                <w:szCs w:val="28"/>
              </w:rPr>
              <w:t>Review Date</w:t>
            </w:r>
          </w:p>
        </w:tc>
        <w:tc>
          <w:tcPr>
            <w:tcW w:w="4621" w:type="dxa"/>
          </w:tcPr>
          <w:p w:rsidR="007C0579" w:rsidRDefault="007C0579" w:rsidP="00221A9D">
            <w:pPr>
              <w:tabs>
                <w:tab w:val="left" w:pos="7455"/>
              </w:tabs>
              <w:jc w:val="center"/>
              <w:rPr>
                <w:rFonts w:ascii="Verdana" w:hAnsi="Verdana"/>
                <w:sz w:val="28"/>
                <w:szCs w:val="28"/>
              </w:rPr>
            </w:pPr>
            <w:r>
              <w:rPr>
                <w:rFonts w:ascii="Verdana" w:hAnsi="Verdana"/>
                <w:sz w:val="28"/>
                <w:szCs w:val="28"/>
              </w:rPr>
              <w:t>December 2018</w:t>
            </w:r>
          </w:p>
        </w:tc>
      </w:tr>
      <w:tr w:rsidR="00AD2CCE">
        <w:tc>
          <w:tcPr>
            <w:tcW w:w="4621" w:type="dxa"/>
          </w:tcPr>
          <w:p w:rsidR="00AD2CCE" w:rsidRDefault="00AD2CCE" w:rsidP="00221A9D">
            <w:pPr>
              <w:tabs>
                <w:tab w:val="left" w:pos="7455"/>
              </w:tabs>
              <w:jc w:val="center"/>
              <w:rPr>
                <w:rFonts w:ascii="Verdana" w:hAnsi="Verdana"/>
                <w:sz w:val="28"/>
                <w:szCs w:val="28"/>
              </w:rPr>
            </w:pPr>
            <w:r>
              <w:rPr>
                <w:rFonts w:ascii="Verdana" w:hAnsi="Verdana"/>
                <w:sz w:val="28"/>
                <w:szCs w:val="28"/>
              </w:rPr>
              <w:t xml:space="preserve">Review Date </w:t>
            </w:r>
          </w:p>
        </w:tc>
        <w:tc>
          <w:tcPr>
            <w:tcW w:w="4621" w:type="dxa"/>
          </w:tcPr>
          <w:p w:rsidR="00AD2CCE" w:rsidRDefault="00B61E18" w:rsidP="00221A9D">
            <w:pPr>
              <w:tabs>
                <w:tab w:val="left" w:pos="7455"/>
              </w:tabs>
              <w:jc w:val="center"/>
              <w:rPr>
                <w:rFonts w:ascii="Verdana" w:hAnsi="Verdana"/>
                <w:sz w:val="28"/>
                <w:szCs w:val="28"/>
              </w:rPr>
            </w:pPr>
            <w:r>
              <w:rPr>
                <w:rFonts w:ascii="Verdana" w:hAnsi="Verdana"/>
                <w:sz w:val="28"/>
                <w:szCs w:val="28"/>
              </w:rPr>
              <w:t>December 2021</w:t>
            </w:r>
            <w:bookmarkStart w:id="0" w:name="_GoBack"/>
            <w:bookmarkEnd w:id="0"/>
          </w:p>
        </w:tc>
      </w:tr>
    </w:tbl>
    <w:p w:rsidR="00C811DD" w:rsidRDefault="00D50DE9" w:rsidP="00C811DD">
      <w:pPr>
        <w:tabs>
          <w:tab w:val="left" w:pos="7455"/>
        </w:tabs>
        <w:jc w:val="center"/>
        <w:rPr>
          <w:rFonts w:ascii="Verdana" w:hAnsi="Verdana"/>
          <w:sz w:val="28"/>
          <w:szCs w:val="28"/>
        </w:rPr>
      </w:pPr>
    </w:p>
    <w:tbl>
      <w:tblPr>
        <w:tblStyle w:val="TableGrid"/>
        <w:tblW w:w="0" w:type="auto"/>
        <w:tblInd w:w="1101" w:type="dxa"/>
        <w:tblLook w:val="04A0" w:firstRow="1" w:lastRow="0" w:firstColumn="1" w:lastColumn="0" w:noHBand="0" w:noVBand="1"/>
      </w:tblPr>
      <w:tblGrid>
        <w:gridCol w:w="4606"/>
        <w:gridCol w:w="4607"/>
      </w:tblGrid>
      <w:tr w:rsidR="004C58F3" w:rsidTr="00EE7362">
        <w:tc>
          <w:tcPr>
            <w:tcW w:w="4606" w:type="dxa"/>
          </w:tcPr>
          <w:p w:rsidR="004C58F3" w:rsidRDefault="004C58F3" w:rsidP="004C58F3">
            <w:pPr>
              <w:tabs>
                <w:tab w:val="left" w:pos="7455"/>
              </w:tabs>
              <w:rPr>
                <w:rFonts w:ascii="Verdana" w:hAnsi="Verdana"/>
                <w:sz w:val="28"/>
                <w:szCs w:val="28"/>
              </w:rPr>
            </w:pPr>
            <w:r>
              <w:rPr>
                <w:rFonts w:ascii="Verdana" w:hAnsi="Verdana"/>
                <w:sz w:val="28"/>
                <w:szCs w:val="28"/>
              </w:rPr>
              <w:t>Comments</w:t>
            </w:r>
          </w:p>
        </w:tc>
        <w:tc>
          <w:tcPr>
            <w:tcW w:w="4607" w:type="dxa"/>
          </w:tcPr>
          <w:p w:rsidR="004C58F3" w:rsidRDefault="004C58F3" w:rsidP="004D1F37">
            <w:pPr>
              <w:tabs>
                <w:tab w:val="left" w:pos="7455"/>
              </w:tabs>
              <w:rPr>
                <w:rFonts w:ascii="Verdana" w:hAnsi="Verdana"/>
                <w:sz w:val="28"/>
                <w:szCs w:val="28"/>
              </w:rPr>
            </w:pPr>
            <w:r>
              <w:rPr>
                <w:rFonts w:ascii="Verdana" w:hAnsi="Verdana"/>
                <w:sz w:val="28"/>
                <w:szCs w:val="28"/>
              </w:rPr>
              <w:t>Reviewed: December 201</w:t>
            </w:r>
            <w:r w:rsidR="004D1F37">
              <w:rPr>
                <w:rFonts w:ascii="Verdana" w:hAnsi="Verdana"/>
                <w:sz w:val="28"/>
                <w:szCs w:val="28"/>
              </w:rPr>
              <w:t>8</w:t>
            </w:r>
          </w:p>
        </w:tc>
      </w:tr>
    </w:tbl>
    <w:p w:rsidR="004C58F3" w:rsidRPr="00C811DD" w:rsidRDefault="004C58F3" w:rsidP="00C811DD">
      <w:pPr>
        <w:tabs>
          <w:tab w:val="left" w:pos="7455"/>
        </w:tabs>
        <w:jc w:val="center"/>
        <w:rPr>
          <w:rFonts w:ascii="Verdana" w:hAnsi="Verdana"/>
          <w:sz w:val="28"/>
          <w:szCs w:val="28"/>
        </w:rPr>
      </w:pPr>
    </w:p>
    <w:p w:rsidR="00C811DD" w:rsidRDefault="00D50DE9" w:rsidP="00745E3B">
      <w:pPr>
        <w:tabs>
          <w:tab w:val="left" w:pos="7455"/>
        </w:tabs>
        <w:rPr>
          <w:rFonts w:ascii="Verdana" w:hAnsi="Verdana"/>
          <w:b/>
          <w:sz w:val="24"/>
          <w:szCs w:val="24"/>
        </w:rPr>
      </w:pPr>
    </w:p>
    <w:p w:rsidR="00C811DD" w:rsidRDefault="00D50DE9" w:rsidP="00745E3B">
      <w:pPr>
        <w:tabs>
          <w:tab w:val="left" w:pos="7455"/>
        </w:tabs>
        <w:rPr>
          <w:rFonts w:ascii="Verdana" w:hAnsi="Verdana"/>
          <w:b/>
          <w:sz w:val="24"/>
          <w:szCs w:val="24"/>
        </w:rPr>
      </w:pPr>
    </w:p>
    <w:p w:rsidR="00C811DD" w:rsidRDefault="00D50DE9" w:rsidP="00745E3B">
      <w:pPr>
        <w:tabs>
          <w:tab w:val="left" w:pos="7455"/>
        </w:tabs>
        <w:rPr>
          <w:rFonts w:ascii="Verdana" w:hAnsi="Verdana"/>
          <w:b/>
          <w:sz w:val="24"/>
          <w:szCs w:val="24"/>
        </w:rPr>
      </w:pPr>
    </w:p>
    <w:p w:rsidR="003B1CBB" w:rsidRDefault="003B1CBB" w:rsidP="00745E3B">
      <w:pPr>
        <w:tabs>
          <w:tab w:val="left" w:pos="7455"/>
        </w:tabs>
        <w:rPr>
          <w:rFonts w:ascii="Verdana" w:hAnsi="Verdana"/>
          <w:b/>
          <w:sz w:val="24"/>
          <w:szCs w:val="24"/>
        </w:rPr>
      </w:pPr>
    </w:p>
    <w:p w:rsidR="003B1CBB" w:rsidRDefault="003B1CBB" w:rsidP="00745E3B">
      <w:pPr>
        <w:tabs>
          <w:tab w:val="left" w:pos="7455"/>
        </w:tabs>
        <w:rPr>
          <w:rFonts w:ascii="Verdana" w:hAnsi="Verdana"/>
          <w:b/>
          <w:sz w:val="24"/>
          <w:szCs w:val="24"/>
        </w:rPr>
      </w:pPr>
    </w:p>
    <w:p w:rsidR="003B1CBB" w:rsidRDefault="003B1CBB" w:rsidP="00745E3B">
      <w:pPr>
        <w:tabs>
          <w:tab w:val="left" w:pos="7455"/>
        </w:tabs>
        <w:rPr>
          <w:rFonts w:ascii="Verdana" w:hAnsi="Verdana"/>
          <w:b/>
          <w:sz w:val="24"/>
          <w:szCs w:val="24"/>
        </w:rPr>
      </w:pPr>
    </w:p>
    <w:p w:rsidR="003B1CBB" w:rsidRDefault="003B1CBB" w:rsidP="00745E3B">
      <w:pPr>
        <w:tabs>
          <w:tab w:val="left" w:pos="7455"/>
        </w:tabs>
        <w:rPr>
          <w:rFonts w:ascii="Verdana" w:hAnsi="Verdana"/>
          <w:b/>
          <w:sz w:val="24"/>
          <w:szCs w:val="24"/>
        </w:rPr>
      </w:pPr>
    </w:p>
    <w:p w:rsidR="00C811DD" w:rsidRDefault="00D50DE9" w:rsidP="00745E3B">
      <w:pPr>
        <w:tabs>
          <w:tab w:val="left" w:pos="7455"/>
        </w:tabs>
        <w:rPr>
          <w:rFonts w:ascii="Verdana" w:hAnsi="Verdana"/>
          <w:b/>
          <w:sz w:val="24"/>
          <w:szCs w:val="24"/>
        </w:rPr>
      </w:pPr>
    </w:p>
    <w:p w:rsidR="00602099" w:rsidRDefault="008F6D06">
      <w:pPr>
        <w:pStyle w:val="TOC1"/>
        <w:tabs>
          <w:tab w:val="left" w:pos="438"/>
          <w:tab w:val="right" w:leader="dot" w:pos="10945"/>
        </w:tabs>
        <w:rPr>
          <w:rFonts w:ascii="Verdana" w:hAnsi="Verdana"/>
          <w:b w:val="0"/>
          <w:noProof/>
        </w:rPr>
      </w:pPr>
      <w:r w:rsidRPr="00602099">
        <w:rPr>
          <w:rFonts w:ascii="Verdana" w:hAnsi="Verdana"/>
          <w:sz w:val="22"/>
          <w:szCs w:val="22"/>
        </w:rPr>
        <w:t>Contents</w:t>
      </w:r>
      <w:r>
        <w:rPr>
          <w:rFonts w:ascii="Verdana" w:hAnsi="Verdana"/>
          <w:b w:val="0"/>
        </w:rPr>
        <w:fldChar w:fldCharType="begin"/>
      </w:r>
      <w:r>
        <w:rPr>
          <w:rFonts w:ascii="Verdana" w:hAnsi="Verdana"/>
          <w:b w:val="0"/>
        </w:rPr>
        <w:instrText xml:space="preserve"> TOC \o "1-3" </w:instrText>
      </w:r>
      <w:r>
        <w:rPr>
          <w:rFonts w:ascii="Verdana" w:hAnsi="Verdana"/>
          <w:b w:val="0"/>
        </w:rPr>
        <w:fldChar w:fldCharType="separate"/>
      </w:r>
    </w:p>
    <w:p w:rsidR="00602099" w:rsidRDefault="008F6D06">
      <w:pPr>
        <w:pStyle w:val="TOC1"/>
        <w:tabs>
          <w:tab w:val="left" w:pos="438"/>
          <w:tab w:val="right" w:leader="dot" w:pos="10945"/>
        </w:tabs>
        <w:rPr>
          <w:rFonts w:eastAsiaTheme="minorEastAsia"/>
          <w:b w:val="0"/>
          <w:noProof/>
        </w:rPr>
      </w:pPr>
      <w:r>
        <w:rPr>
          <w:noProof/>
        </w:rPr>
        <w:t>1.</w:t>
      </w:r>
      <w:r>
        <w:rPr>
          <w:rFonts w:eastAsiaTheme="minorEastAsia"/>
          <w:b w:val="0"/>
          <w:noProof/>
        </w:rPr>
        <w:tab/>
      </w:r>
      <w:r>
        <w:rPr>
          <w:noProof/>
        </w:rPr>
        <w:t>Summary:</w:t>
      </w:r>
      <w:r>
        <w:rPr>
          <w:noProof/>
        </w:rPr>
        <w:tab/>
      </w:r>
      <w:r>
        <w:rPr>
          <w:noProof/>
        </w:rPr>
        <w:fldChar w:fldCharType="begin"/>
      </w:r>
      <w:r>
        <w:rPr>
          <w:noProof/>
        </w:rPr>
        <w:instrText xml:space="preserve"> PAGEREF _Toc275003058 \h </w:instrText>
      </w:r>
      <w:r>
        <w:rPr>
          <w:noProof/>
        </w:rPr>
      </w:r>
      <w:r>
        <w:rPr>
          <w:noProof/>
        </w:rPr>
        <w:fldChar w:fldCharType="separate"/>
      </w:r>
      <w:r w:rsidR="00926C4B">
        <w:rPr>
          <w:noProof/>
        </w:rPr>
        <w:t>4</w:t>
      </w:r>
      <w:r>
        <w:rPr>
          <w:noProof/>
        </w:rPr>
        <w:fldChar w:fldCharType="end"/>
      </w:r>
    </w:p>
    <w:p w:rsidR="00602099" w:rsidRDefault="008F6D06">
      <w:pPr>
        <w:pStyle w:val="TOC1"/>
        <w:tabs>
          <w:tab w:val="left" w:pos="438"/>
          <w:tab w:val="right" w:leader="dot" w:pos="10945"/>
        </w:tabs>
        <w:rPr>
          <w:rFonts w:eastAsiaTheme="minorEastAsia"/>
          <w:b w:val="0"/>
          <w:noProof/>
        </w:rPr>
      </w:pPr>
      <w:r>
        <w:rPr>
          <w:noProof/>
        </w:rPr>
        <w:t>2.</w:t>
      </w:r>
      <w:r>
        <w:rPr>
          <w:rFonts w:eastAsiaTheme="minorEastAsia"/>
          <w:b w:val="0"/>
          <w:noProof/>
        </w:rPr>
        <w:tab/>
      </w:r>
      <w:r>
        <w:rPr>
          <w:noProof/>
        </w:rPr>
        <w:t>Scope</w:t>
      </w:r>
      <w:r>
        <w:rPr>
          <w:noProof/>
        </w:rPr>
        <w:tab/>
      </w:r>
      <w:r>
        <w:rPr>
          <w:noProof/>
        </w:rPr>
        <w:fldChar w:fldCharType="begin"/>
      </w:r>
      <w:r>
        <w:rPr>
          <w:noProof/>
        </w:rPr>
        <w:instrText xml:space="preserve"> PAGEREF _Toc275003060 \h </w:instrText>
      </w:r>
      <w:r>
        <w:rPr>
          <w:noProof/>
        </w:rPr>
      </w:r>
      <w:r>
        <w:rPr>
          <w:noProof/>
        </w:rPr>
        <w:fldChar w:fldCharType="separate"/>
      </w:r>
      <w:r w:rsidR="00926C4B">
        <w:rPr>
          <w:noProof/>
        </w:rPr>
        <w:t>4</w:t>
      </w:r>
      <w:r>
        <w:rPr>
          <w:noProof/>
        </w:rPr>
        <w:fldChar w:fldCharType="end"/>
      </w:r>
    </w:p>
    <w:p w:rsidR="00602099" w:rsidRDefault="008F6D06">
      <w:pPr>
        <w:pStyle w:val="TOC1"/>
        <w:tabs>
          <w:tab w:val="left" w:pos="438"/>
          <w:tab w:val="right" w:leader="dot" w:pos="10945"/>
        </w:tabs>
        <w:rPr>
          <w:rFonts w:eastAsiaTheme="minorEastAsia"/>
          <w:b w:val="0"/>
          <w:noProof/>
        </w:rPr>
      </w:pPr>
      <w:r>
        <w:rPr>
          <w:noProof/>
        </w:rPr>
        <w:t>3.</w:t>
      </w:r>
      <w:r>
        <w:rPr>
          <w:rFonts w:eastAsiaTheme="minorEastAsia"/>
          <w:b w:val="0"/>
          <w:noProof/>
        </w:rPr>
        <w:tab/>
      </w:r>
      <w:r>
        <w:rPr>
          <w:noProof/>
        </w:rPr>
        <w:t>Purpose</w:t>
      </w:r>
      <w:r>
        <w:rPr>
          <w:noProof/>
        </w:rPr>
        <w:tab/>
      </w:r>
      <w:r>
        <w:rPr>
          <w:noProof/>
        </w:rPr>
        <w:fldChar w:fldCharType="begin"/>
      </w:r>
      <w:r>
        <w:rPr>
          <w:noProof/>
        </w:rPr>
        <w:instrText xml:space="preserve"> PAGEREF _Toc275003061 \h </w:instrText>
      </w:r>
      <w:r>
        <w:rPr>
          <w:noProof/>
        </w:rPr>
      </w:r>
      <w:r>
        <w:rPr>
          <w:noProof/>
        </w:rPr>
        <w:fldChar w:fldCharType="separate"/>
      </w:r>
      <w:r w:rsidR="00926C4B">
        <w:rPr>
          <w:noProof/>
        </w:rPr>
        <w:t>4</w:t>
      </w:r>
      <w:r>
        <w:rPr>
          <w:noProof/>
        </w:rPr>
        <w:fldChar w:fldCharType="end"/>
      </w:r>
      <w:r w:rsidR="003B1CBB">
        <w:rPr>
          <w:noProof/>
        </w:rPr>
        <w:t>-5</w:t>
      </w:r>
    </w:p>
    <w:p w:rsidR="00602099" w:rsidRDefault="008F6D06">
      <w:pPr>
        <w:pStyle w:val="TOC1"/>
        <w:tabs>
          <w:tab w:val="left" w:pos="438"/>
          <w:tab w:val="right" w:leader="dot" w:pos="10945"/>
        </w:tabs>
        <w:rPr>
          <w:rFonts w:eastAsiaTheme="minorEastAsia"/>
          <w:b w:val="0"/>
          <w:noProof/>
        </w:rPr>
      </w:pPr>
      <w:r>
        <w:rPr>
          <w:noProof/>
        </w:rPr>
        <w:t>4.</w:t>
      </w:r>
      <w:r>
        <w:rPr>
          <w:rFonts w:eastAsiaTheme="minorEastAsia"/>
          <w:b w:val="0"/>
          <w:noProof/>
        </w:rPr>
        <w:tab/>
      </w:r>
      <w:r w:rsidRPr="008468CC">
        <w:rPr>
          <w:noProof/>
        </w:rPr>
        <w:t>Policy Aim</w:t>
      </w:r>
      <w:r>
        <w:rPr>
          <w:noProof/>
        </w:rPr>
        <w:tab/>
      </w:r>
      <w:r>
        <w:rPr>
          <w:noProof/>
        </w:rPr>
        <w:fldChar w:fldCharType="begin"/>
      </w:r>
      <w:r>
        <w:rPr>
          <w:noProof/>
        </w:rPr>
        <w:instrText xml:space="preserve"> PAGEREF _Toc275003062 \h </w:instrText>
      </w:r>
      <w:r>
        <w:rPr>
          <w:noProof/>
        </w:rPr>
      </w:r>
      <w:r>
        <w:rPr>
          <w:noProof/>
        </w:rPr>
        <w:fldChar w:fldCharType="separate"/>
      </w:r>
      <w:r w:rsidR="00926C4B">
        <w:rPr>
          <w:noProof/>
        </w:rPr>
        <w:t>5</w:t>
      </w:r>
      <w:r>
        <w:rPr>
          <w:noProof/>
        </w:rPr>
        <w:fldChar w:fldCharType="end"/>
      </w:r>
      <w:r w:rsidR="003B1CBB">
        <w:rPr>
          <w:noProof/>
        </w:rPr>
        <w:t>-6</w:t>
      </w:r>
    </w:p>
    <w:p w:rsidR="00602099" w:rsidRDefault="008F6D06">
      <w:pPr>
        <w:pStyle w:val="TOC1"/>
        <w:tabs>
          <w:tab w:val="left" w:pos="438"/>
          <w:tab w:val="right" w:leader="dot" w:pos="10945"/>
        </w:tabs>
        <w:rPr>
          <w:rFonts w:eastAsiaTheme="minorEastAsia"/>
          <w:b w:val="0"/>
          <w:noProof/>
        </w:rPr>
      </w:pPr>
      <w:r w:rsidRPr="008468CC">
        <w:rPr>
          <w:noProof/>
        </w:rPr>
        <w:t>5.</w:t>
      </w:r>
      <w:r>
        <w:rPr>
          <w:rFonts w:eastAsiaTheme="minorEastAsia"/>
          <w:b w:val="0"/>
          <w:noProof/>
        </w:rPr>
        <w:tab/>
      </w:r>
      <w:r w:rsidRPr="008468CC">
        <w:rPr>
          <w:noProof/>
        </w:rPr>
        <w:t>Definitions</w:t>
      </w:r>
      <w:r>
        <w:rPr>
          <w:noProof/>
        </w:rPr>
        <w:tab/>
      </w:r>
      <w:r>
        <w:rPr>
          <w:noProof/>
        </w:rPr>
        <w:fldChar w:fldCharType="begin"/>
      </w:r>
      <w:r>
        <w:rPr>
          <w:noProof/>
        </w:rPr>
        <w:instrText xml:space="preserve"> PAGEREF _Toc275003063 \h </w:instrText>
      </w:r>
      <w:r>
        <w:rPr>
          <w:noProof/>
        </w:rPr>
      </w:r>
      <w:r>
        <w:rPr>
          <w:noProof/>
        </w:rPr>
        <w:fldChar w:fldCharType="separate"/>
      </w:r>
      <w:r w:rsidR="00926C4B">
        <w:rPr>
          <w:noProof/>
        </w:rPr>
        <w:t>6</w:t>
      </w:r>
      <w:r>
        <w:rPr>
          <w:noProof/>
        </w:rPr>
        <w:fldChar w:fldCharType="end"/>
      </w:r>
    </w:p>
    <w:p w:rsidR="00602099" w:rsidRDefault="008F6D06">
      <w:pPr>
        <w:pStyle w:val="TOC1"/>
        <w:tabs>
          <w:tab w:val="left" w:pos="438"/>
          <w:tab w:val="right" w:leader="dot" w:pos="10945"/>
        </w:tabs>
        <w:rPr>
          <w:noProof/>
        </w:rPr>
      </w:pPr>
      <w:r w:rsidRPr="008468CC">
        <w:rPr>
          <w:noProof/>
        </w:rPr>
        <w:t>6.</w:t>
      </w:r>
      <w:r>
        <w:rPr>
          <w:rFonts w:eastAsiaTheme="minorEastAsia"/>
          <w:b w:val="0"/>
          <w:noProof/>
        </w:rPr>
        <w:tab/>
      </w:r>
      <w:r w:rsidRPr="008468CC">
        <w:rPr>
          <w:noProof/>
        </w:rPr>
        <w:t>Operational Arrangements</w:t>
      </w:r>
      <w:r>
        <w:rPr>
          <w:noProof/>
        </w:rPr>
        <w:tab/>
      </w:r>
      <w:r>
        <w:rPr>
          <w:noProof/>
        </w:rPr>
        <w:fldChar w:fldCharType="begin"/>
      </w:r>
      <w:r>
        <w:rPr>
          <w:noProof/>
        </w:rPr>
        <w:instrText xml:space="preserve"> PAGEREF _Toc275003064 \h </w:instrText>
      </w:r>
      <w:r>
        <w:rPr>
          <w:noProof/>
        </w:rPr>
      </w:r>
      <w:r>
        <w:rPr>
          <w:noProof/>
        </w:rPr>
        <w:fldChar w:fldCharType="separate"/>
      </w:r>
      <w:r w:rsidR="00926C4B">
        <w:rPr>
          <w:noProof/>
        </w:rPr>
        <w:t>6</w:t>
      </w:r>
      <w:r>
        <w:rPr>
          <w:noProof/>
        </w:rPr>
        <w:fldChar w:fldCharType="end"/>
      </w:r>
    </w:p>
    <w:p w:rsidR="003B1CBB" w:rsidRDefault="008F6D06" w:rsidP="003B1CBB">
      <w:pPr>
        <w:tabs>
          <w:tab w:val="left" w:pos="567"/>
          <w:tab w:val="right" w:pos="10915"/>
        </w:tabs>
        <w:spacing w:after="0"/>
        <w:rPr>
          <w:b/>
          <w:noProof/>
        </w:rPr>
      </w:pPr>
      <w:r>
        <w:rPr>
          <w:noProof/>
        </w:rPr>
        <w:tab/>
        <w:t>6.1   D</w:t>
      </w:r>
      <w:r w:rsidRPr="00602099">
        <w:rPr>
          <w:noProof/>
        </w:rPr>
        <w:t>ecision Making - Not To Repatriate</w:t>
      </w:r>
      <w:r w:rsidR="003B1CBB">
        <w:rPr>
          <w:noProof/>
        </w:rPr>
        <w:t>…………………………………………………………………………………………………………………</w:t>
      </w:r>
      <w:r w:rsidRPr="00602099">
        <w:rPr>
          <w:noProof/>
        </w:rPr>
        <w:t xml:space="preserve"> </w:t>
      </w:r>
      <w:r>
        <w:rPr>
          <w:noProof/>
        </w:rPr>
        <w:tab/>
      </w:r>
      <w:r w:rsidRPr="003B1CBB">
        <w:rPr>
          <w:b/>
          <w:noProof/>
        </w:rPr>
        <w:t>6</w:t>
      </w:r>
      <w:r>
        <w:rPr>
          <w:noProof/>
        </w:rPr>
        <w:br/>
      </w:r>
      <w:r>
        <w:rPr>
          <w:noProof/>
        </w:rPr>
        <w:tab/>
        <w:t>6.2   D</w:t>
      </w:r>
      <w:r w:rsidRPr="00602099">
        <w:rPr>
          <w:noProof/>
        </w:rPr>
        <w:t xml:space="preserve">ecision Making - </w:t>
      </w:r>
      <w:r w:rsidRPr="00290647">
        <w:rPr>
          <w:noProof/>
        </w:rPr>
        <w:t>Repatriation of Patients to local hospital critical care service</w:t>
      </w:r>
      <w:r w:rsidR="003B1CBB">
        <w:rPr>
          <w:noProof/>
        </w:rPr>
        <w:t>s …………………………………………….</w:t>
      </w:r>
      <w:r>
        <w:rPr>
          <w:noProof/>
        </w:rPr>
        <w:tab/>
      </w:r>
      <w:r w:rsidRPr="003B1CBB">
        <w:rPr>
          <w:b/>
          <w:noProof/>
        </w:rPr>
        <w:t>7</w:t>
      </w:r>
      <w:r>
        <w:rPr>
          <w:noProof/>
        </w:rPr>
        <w:br/>
      </w:r>
      <w:r>
        <w:rPr>
          <w:noProof/>
        </w:rPr>
        <w:tab/>
        <w:t>6.2   D</w:t>
      </w:r>
      <w:r w:rsidRPr="00602099">
        <w:rPr>
          <w:noProof/>
        </w:rPr>
        <w:t xml:space="preserve">ecision Making - </w:t>
      </w:r>
      <w:r w:rsidRPr="00290647">
        <w:rPr>
          <w:noProof/>
        </w:rPr>
        <w:t>Repatriation of Patients to</w:t>
      </w:r>
      <w:r>
        <w:rPr>
          <w:noProof/>
        </w:rPr>
        <w:t xml:space="preserve"> ward leve</w:t>
      </w:r>
      <w:r w:rsidR="003B1CBB">
        <w:rPr>
          <w:noProof/>
        </w:rPr>
        <w:t>l</w:t>
      </w:r>
      <w:r w:rsidR="003B1CBB">
        <w:rPr>
          <w:b/>
          <w:noProof/>
        </w:rPr>
        <w:t xml:space="preserve"> </w:t>
      </w:r>
      <w:r w:rsidR="003B1CBB">
        <w:rPr>
          <w:noProof/>
        </w:rPr>
        <w:t>.....................................................................................</w:t>
      </w:r>
      <w:r>
        <w:rPr>
          <w:noProof/>
        </w:rPr>
        <w:tab/>
      </w:r>
      <w:r w:rsidRPr="003B1CBB">
        <w:rPr>
          <w:b/>
          <w:noProof/>
        </w:rPr>
        <w:t>8</w:t>
      </w:r>
    </w:p>
    <w:p w:rsidR="00602099" w:rsidRDefault="008F6D06" w:rsidP="003B1CBB">
      <w:pPr>
        <w:tabs>
          <w:tab w:val="left" w:pos="567"/>
          <w:tab w:val="right" w:pos="10915"/>
        </w:tabs>
        <w:spacing w:after="0"/>
        <w:rPr>
          <w:rFonts w:eastAsiaTheme="minorEastAsia"/>
          <w:b/>
          <w:noProof/>
        </w:rPr>
      </w:pPr>
      <w:r>
        <w:rPr>
          <w:noProof/>
        </w:rPr>
        <w:br/>
      </w:r>
      <w:r w:rsidRPr="00290647">
        <w:rPr>
          <w:b/>
          <w:noProof/>
          <w:sz w:val="24"/>
        </w:rPr>
        <w:t>7.</w:t>
      </w:r>
      <w:r w:rsidRPr="00290647">
        <w:rPr>
          <w:rFonts w:eastAsiaTheme="minorEastAsia"/>
          <w:b/>
          <w:noProof/>
          <w:sz w:val="24"/>
        </w:rPr>
        <w:tab/>
      </w:r>
      <w:r w:rsidRPr="00290647">
        <w:rPr>
          <w:b/>
          <w:noProof/>
          <w:sz w:val="24"/>
        </w:rPr>
        <w:t>Escalation Procedures</w:t>
      </w:r>
      <w:r w:rsidR="003B1CBB">
        <w:rPr>
          <w:b/>
          <w:noProof/>
          <w:sz w:val="24"/>
        </w:rPr>
        <w:t>………………………………………………………………………………………………………………………</w:t>
      </w:r>
      <w:r>
        <w:rPr>
          <w:noProof/>
        </w:rPr>
        <w:tab/>
      </w:r>
      <w:r w:rsidRPr="003B1CBB">
        <w:rPr>
          <w:b/>
          <w:noProof/>
        </w:rPr>
        <w:fldChar w:fldCharType="begin"/>
      </w:r>
      <w:r w:rsidRPr="003B1CBB">
        <w:rPr>
          <w:b/>
          <w:noProof/>
        </w:rPr>
        <w:instrText xml:space="preserve"> PAGEREF _Toc275003065 \h </w:instrText>
      </w:r>
      <w:r w:rsidRPr="003B1CBB">
        <w:rPr>
          <w:b/>
          <w:noProof/>
        </w:rPr>
      </w:r>
      <w:r w:rsidRPr="003B1CBB">
        <w:rPr>
          <w:b/>
          <w:noProof/>
        </w:rPr>
        <w:fldChar w:fldCharType="separate"/>
      </w:r>
      <w:r w:rsidR="00926C4B">
        <w:rPr>
          <w:b/>
          <w:noProof/>
        </w:rPr>
        <w:t>9</w:t>
      </w:r>
      <w:r w:rsidRPr="003B1CBB">
        <w:rPr>
          <w:b/>
          <w:noProof/>
        </w:rPr>
        <w:fldChar w:fldCharType="end"/>
      </w:r>
      <w:r w:rsidR="00445A87">
        <w:rPr>
          <w:b/>
          <w:noProof/>
        </w:rPr>
        <w:t>-10</w:t>
      </w:r>
    </w:p>
    <w:p w:rsidR="00602099" w:rsidRDefault="008F6D06">
      <w:pPr>
        <w:pStyle w:val="TOC1"/>
        <w:tabs>
          <w:tab w:val="left" w:pos="438"/>
          <w:tab w:val="right" w:leader="dot" w:pos="10945"/>
        </w:tabs>
        <w:rPr>
          <w:rFonts w:eastAsiaTheme="minorEastAsia"/>
          <w:b w:val="0"/>
          <w:noProof/>
        </w:rPr>
      </w:pPr>
      <w:r w:rsidRPr="008468CC">
        <w:rPr>
          <w:noProof/>
        </w:rPr>
        <w:t>8.</w:t>
      </w:r>
      <w:r>
        <w:rPr>
          <w:rFonts w:eastAsiaTheme="minorEastAsia"/>
          <w:b w:val="0"/>
          <w:noProof/>
        </w:rPr>
        <w:tab/>
      </w:r>
      <w:r w:rsidR="003B1CBB">
        <w:rPr>
          <w:rFonts w:eastAsiaTheme="minorEastAsia"/>
          <w:b w:val="0"/>
          <w:noProof/>
        </w:rPr>
        <w:t xml:space="preserve">   </w:t>
      </w:r>
      <w:r w:rsidRPr="008468CC">
        <w:rPr>
          <w:noProof/>
        </w:rPr>
        <w:t>Infection Status</w:t>
      </w:r>
      <w:r>
        <w:rPr>
          <w:noProof/>
        </w:rPr>
        <w:tab/>
      </w:r>
      <w:r>
        <w:rPr>
          <w:noProof/>
        </w:rPr>
        <w:fldChar w:fldCharType="begin"/>
      </w:r>
      <w:r>
        <w:rPr>
          <w:noProof/>
        </w:rPr>
        <w:instrText xml:space="preserve"> PAGEREF _Toc275003066 \h </w:instrText>
      </w:r>
      <w:r>
        <w:rPr>
          <w:noProof/>
        </w:rPr>
      </w:r>
      <w:r>
        <w:rPr>
          <w:noProof/>
        </w:rPr>
        <w:fldChar w:fldCharType="separate"/>
      </w:r>
      <w:r w:rsidR="00926C4B">
        <w:rPr>
          <w:noProof/>
        </w:rPr>
        <w:t>10</w:t>
      </w:r>
      <w:r>
        <w:rPr>
          <w:noProof/>
        </w:rPr>
        <w:fldChar w:fldCharType="end"/>
      </w:r>
    </w:p>
    <w:p w:rsidR="00602099" w:rsidRDefault="008F6D06">
      <w:pPr>
        <w:pStyle w:val="TOC1"/>
        <w:tabs>
          <w:tab w:val="left" w:pos="438"/>
          <w:tab w:val="right" w:leader="dot" w:pos="10945"/>
        </w:tabs>
        <w:rPr>
          <w:rFonts w:eastAsiaTheme="minorEastAsia"/>
          <w:b w:val="0"/>
          <w:noProof/>
        </w:rPr>
      </w:pPr>
      <w:r w:rsidRPr="008468CC">
        <w:rPr>
          <w:noProof/>
        </w:rPr>
        <w:t>9.</w:t>
      </w:r>
      <w:r>
        <w:rPr>
          <w:rFonts w:eastAsiaTheme="minorEastAsia"/>
          <w:b w:val="0"/>
          <w:noProof/>
        </w:rPr>
        <w:tab/>
      </w:r>
      <w:r w:rsidR="003B1CBB">
        <w:rPr>
          <w:rFonts w:eastAsiaTheme="minorEastAsia"/>
          <w:b w:val="0"/>
          <w:noProof/>
        </w:rPr>
        <w:t xml:space="preserve">   </w:t>
      </w:r>
      <w:r w:rsidRPr="008468CC">
        <w:rPr>
          <w:noProof/>
        </w:rPr>
        <w:t>Communication</w:t>
      </w:r>
      <w:r>
        <w:rPr>
          <w:noProof/>
        </w:rPr>
        <w:tab/>
      </w:r>
      <w:r>
        <w:rPr>
          <w:noProof/>
        </w:rPr>
        <w:fldChar w:fldCharType="begin"/>
      </w:r>
      <w:r>
        <w:rPr>
          <w:noProof/>
        </w:rPr>
        <w:instrText xml:space="preserve"> PAGEREF _Toc275003067 \h </w:instrText>
      </w:r>
      <w:r>
        <w:rPr>
          <w:noProof/>
        </w:rPr>
      </w:r>
      <w:r>
        <w:rPr>
          <w:noProof/>
        </w:rPr>
        <w:fldChar w:fldCharType="separate"/>
      </w:r>
      <w:r w:rsidR="00926C4B">
        <w:rPr>
          <w:noProof/>
        </w:rPr>
        <w:t>10</w:t>
      </w:r>
      <w:r>
        <w:rPr>
          <w:noProof/>
        </w:rPr>
        <w:fldChar w:fldCharType="end"/>
      </w:r>
    </w:p>
    <w:p w:rsidR="00602099" w:rsidRDefault="008F6D06">
      <w:pPr>
        <w:pStyle w:val="TOC1"/>
        <w:tabs>
          <w:tab w:val="left" w:pos="580"/>
          <w:tab w:val="right" w:leader="dot" w:pos="10945"/>
        </w:tabs>
        <w:rPr>
          <w:rFonts w:eastAsiaTheme="minorEastAsia"/>
          <w:b w:val="0"/>
          <w:noProof/>
        </w:rPr>
      </w:pPr>
      <w:r w:rsidRPr="008468CC">
        <w:rPr>
          <w:noProof/>
        </w:rPr>
        <w:t>10.</w:t>
      </w:r>
      <w:r>
        <w:rPr>
          <w:rFonts w:eastAsiaTheme="minorEastAsia"/>
          <w:b w:val="0"/>
          <w:noProof/>
        </w:rPr>
        <w:tab/>
      </w:r>
      <w:r w:rsidRPr="008468CC">
        <w:rPr>
          <w:noProof/>
        </w:rPr>
        <w:t>Monitoring Arrangements</w:t>
      </w:r>
      <w:r>
        <w:rPr>
          <w:noProof/>
        </w:rPr>
        <w:tab/>
      </w:r>
      <w:r>
        <w:rPr>
          <w:noProof/>
        </w:rPr>
        <w:fldChar w:fldCharType="begin"/>
      </w:r>
      <w:r>
        <w:rPr>
          <w:noProof/>
        </w:rPr>
        <w:instrText xml:space="preserve"> PAGEREF _Toc275003068 \h </w:instrText>
      </w:r>
      <w:r>
        <w:rPr>
          <w:noProof/>
        </w:rPr>
      </w:r>
      <w:r>
        <w:rPr>
          <w:noProof/>
        </w:rPr>
        <w:fldChar w:fldCharType="separate"/>
      </w:r>
      <w:r w:rsidR="00926C4B">
        <w:rPr>
          <w:noProof/>
        </w:rPr>
        <w:t>11</w:t>
      </w:r>
      <w:r>
        <w:rPr>
          <w:noProof/>
        </w:rPr>
        <w:fldChar w:fldCharType="end"/>
      </w:r>
    </w:p>
    <w:p w:rsidR="00602099" w:rsidRDefault="008F6D06">
      <w:pPr>
        <w:pStyle w:val="TOC1"/>
        <w:tabs>
          <w:tab w:val="left" w:pos="580"/>
          <w:tab w:val="right" w:leader="dot" w:pos="10945"/>
        </w:tabs>
        <w:rPr>
          <w:rFonts w:eastAsiaTheme="minorEastAsia"/>
          <w:b w:val="0"/>
          <w:noProof/>
        </w:rPr>
      </w:pPr>
      <w:r w:rsidRPr="008468CC">
        <w:rPr>
          <w:noProof/>
        </w:rPr>
        <w:t>11.</w:t>
      </w:r>
      <w:r>
        <w:rPr>
          <w:rFonts w:eastAsiaTheme="minorEastAsia"/>
          <w:b w:val="0"/>
          <w:noProof/>
        </w:rPr>
        <w:tab/>
      </w:r>
      <w:r w:rsidRPr="008468CC">
        <w:rPr>
          <w:noProof/>
        </w:rPr>
        <w:t>Incident Reporting</w:t>
      </w:r>
      <w:r>
        <w:rPr>
          <w:noProof/>
        </w:rPr>
        <w:tab/>
      </w:r>
      <w:r>
        <w:rPr>
          <w:noProof/>
        </w:rPr>
        <w:fldChar w:fldCharType="begin"/>
      </w:r>
      <w:r>
        <w:rPr>
          <w:noProof/>
        </w:rPr>
        <w:instrText xml:space="preserve"> PAGEREF _Toc275003069 \h </w:instrText>
      </w:r>
      <w:r>
        <w:rPr>
          <w:noProof/>
        </w:rPr>
      </w:r>
      <w:r>
        <w:rPr>
          <w:noProof/>
        </w:rPr>
        <w:fldChar w:fldCharType="separate"/>
      </w:r>
      <w:r w:rsidR="00926C4B">
        <w:rPr>
          <w:noProof/>
        </w:rPr>
        <w:t>11</w:t>
      </w:r>
      <w:r>
        <w:rPr>
          <w:noProof/>
        </w:rPr>
        <w:fldChar w:fldCharType="end"/>
      </w:r>
      <w:r w:rsidR="00445A87">
        <w:rPr>
          <w:noProof/>
        </w:rPr>
        <w:t>-12</w:t>
      </w:r>
    </w:p>
    <w:p w:rsidR="00602099" w:rsidRDefault="008F6D06" w:rsidP="00745E3B">
      <w:pPr>
        <w:tabs>
          <w:tab w:val="left" w:pos="7455"/>
        </w:tabs>
        <w:rPr>
          <w:rFonts w:ascii="Verdana" w:hAnsi="Verdana"/>
          <w:b/>
        </w:rPr>
      </w:pPr>
      <w:r>
        <w:rPr>
          <w:rFonts w:ascii="Verdana" w:hAnsi="Verdana"/>
          <w:b/>
        </w:rPr>
        <w:fldChar w:fldCharType="end"/>
      </w:r>
    </w:p>
    <w:p w:rsidR="005465FD" w:rsidRDefault="008F6D06">
      <w:pPr>
        <w:rPr>
          <w:rFonts w:asciiTheme="majorHAnsi" w:eastAsiaTheme="majorEastAsia" w:hAnsiTheme="majorHAnsi" w:cstheme="majorBidi"/>
          <w:b/>
          <w:bCs/>
          <w:color w:val="365F91" w:themeColor="accent1" w:themeShade="BF"/>
          <w:sz w:val="28"/>
          <w:szCs w:val="28"/>
        </w:rPr>
      </w:pPr>
      <w:r>
        <w:br w:type="page"/>
      </w:r>
    </w:p>
    <w:p w:rsidR="006B1892" w:rsidRDefault="008F6D06" w:rsidP="00CC57AC">
      <w:pPr>
        <w:pStyle w:val="Heading1"/>
        <w:numPr>
          <w:ilvl w:val="0"/>
          <w:numId w:val="5"/>
        </w:numPr>
      </w:pPr>
      <w:bookmarkStart w:id="1" w:name="_Toc275003058"/>
      <w:r w:rsidRPr="006B1892">
        <w:lastRenderedPageBreak/>
        <w:t>Summary:</w:t>
      </w:r>
      <w:bookmarkEnd w:id="1"/>
    </w:p>
    <w:p w:rsidR="00480CFE" w:rsidRPr="00480CFE" w:rsidRDefault="00D50DE9" w:rsidP="00480CFE"/>
    <w:p w:rsidR="004929DE" w:rsidRPr="00CC57AC" w:rsidRDefault="008F6D06" w:rsidP="005465FD">
      <w:pPr>
        <w:ind w:left="426" w:right="40"/>
        <w:rPr>
          <w:rFonts w:ascii="Verdana" w:hAnsi="Verdana"/>
        </w:rPr>
      </w:pPr>
      <w:r w:rsidRPr="00CC57AC">
        <w:rPr>
          <w:rFonts w:ascii="Verdana" w:hAnsi="Verdana"/>
        </w:rPr>
        <w:t xml:space="preserve">This document outlines the East of England Critical Care Network operational policy for the repatriation of patients from either a specialist critical care unit, or a general adult critical care unit to a local hospital within the East of England Region. Such patients may be transferred to either </w:t>
      </w:r>
      <w:r>
        <w:rPr>
          <w:rFonts w:ascii="Verdana" w:hAnsi="Verdana"/>
        </w:rPr>
        <w:t xml:space="preserve">critical care </w:t>
      </w:r>
      <w:r w:rsidRPr="00CC57AC">
        <w:rPr>
          <w:rFonts w:ascii="Verdana" w:hAnsi="Verdana"/>
        </w:rPr>
        <w:t>or a ward area within their local hospital.</w:t>
      </w:r>
    </w:p>
    <w:p w:rsidR="00B76387" w:rsidRPr="005465FD" w:rsidRDefault="008F6D06" w:rsidP="00CC57AC">
      <w:pPr>
        <w:pStyle w:val="Heading1"/>
        <w:ind w:left="993" w:hanging="426"/>
        <w:rPr>
          <w:rFonts w:ascii="Verdana" w:eastAsiaTheme="minorHAnsi" w:hAnsi="Verdana" w:cstheme="minorBidi"/>
          <w:b w:val="0"/>
          <w:bCs w:val="0"/>
          <w:color w:val="auto"/>
          <w:sz w:val="22"/>
          <w:szCs w:val="22"/>
        </w:rPr>
      </w:pPr>
      <w:bookmarkStart w:id="2" w:name="_Toc275003059"/>
      <w:r w:rsidRPr="005465FD">
        <w:rPr>
          <w:rFonts w:ascii="Verdana" w:eastAsiaTheme="minorHAnsi" w:hAnsi="Verdana" w:cstheme="minorBidi"/>
          <w:b w:val="0"/>
          <w:bCs w:val="0"/>
          <w:color w:val="auto"/>
          <w:sz w:val="22"/>
          <w:szCs w:val="22"/>
        </w:rPr>
        <w:t>It is recognised that the repatriation of patients’ is necessary to ensure that pathways of care continue without unnecessary delay or interruptions, and supports the NHS objective ‘Right Care, Right Place, Right Time’.</w:t>
      </w:r>
      <w:bookmarkEnd w:id="2"/>
      <w:r w:rsidRPr="005465FD">
        <w:rPr>
          <w:rFonts w:ascii="Verdana" w:eastAsiaTheme="minorHAnsi" w:hAnsi="Verdana" w:cstheme="minorBidi"/>
          <w:b w:val="0"/>
          <w:bCs w:val="0"/>
          <w:color w:val="auto"/>
          <w:sz w:val="22"/>
          <w:szCs w:val="22"/>
        </w:rPr>
        <w:t xml:space="preserve">   </w:t>
      </w:r>
    </w:p>
    <w:p w:rsidR="004929DE" w:rsidRPr="005465FD" w:rsidRDefault="008F6D06" w:rsidP="00E00D42">
      <w:pPr>
        <w:pStyle w:val="ListParagraph"/>
        <w:numPr>
          <w:ilvl w:val="1"/>
          <w:numId w:val="7"/>
        </w:numPr>
        <w:tabs>
          <w:tab w:val="left" w:pos="7455"/>
        </w:tabs>
        <w:spacing w:before="120" w:after="0" w:line="360" w:lineRule="auto"/>
        <w:ind w:left="1701" w:hanging="708"/>
        <w:rPr>
          <w:rFonts w:ascii="Verdana" w:hAnsi="Verdana"/>
        </w:rPr>
      </w:pPr>
      <w:r w:rsidRPr="005465FD">
        <w:rPr>
          <w:rFonts w:ascii="Verdana" w:hAnsi="Verdana"/>
        </w:rPr>
        <w:t>Unnecessary delays are unhelpful in a number of ways.</w:t>
      </w:r>
    </w:p>
    <w:p w:rsidR="004929DE" w:rsidRPr="006B1892" w:rsidRDefault="008F6D06" w:rsidP="00B76387">
      <w:pPr>
        <w:pStyle w:val="ListParagraph"/>
        <w:numPr>
          <w:ilvl w:val="0"/>
          <w:numId w:val="1"/>
        </w:numPr>
        <w:tabs>
          <w:tab w:val="left" w:pos="7455"/>
        </w:tabs>
        <w:spacing w:after="0" w:line="360" w:lineRule="auto"/>
        <w:rPr>
          <w:rFonts w:ascii="Verdana" w:hAnsi="Verdana"/>
        </w:rPr>
      </w:pPr>
      <w:r w:rsidRPr="006B1892">
        <w:rPr>
          <w:rFonts w:ascii="Verdana" w:hAnsi="Verdana"/>
        </w:rPr>
        <w:t>They can impede the care pathway for patients requiring rehabilitation.</w:t>
      </w:r>
    </w:p>
    <w:p w:rsidR="004929DE" w:rsidRPr="006B1892" w:rsidRDefault="008F6D06" w:rsidP="00B76387">
      <w:pPr>
        <w:pStyle w:val="ListParagraph"/>
        <w:numPr>
          <w:ilvl w:val="0"/>
          <w:numId w:val="1"/>
        </w:numPr>
        <w:tabs>
          <w:tab w:val="left" w:pos="7455"/>
        </w:tabs>
        <w:spacing w:line="360" w:lineRule="auto"/>
        <w:rPr>
          <w:rFonts w:ascii="Verdana" w:hAnsi="Verdana"/>
        </w:rPr>
      </w:pPr>
      <w:r w:rsidRPr="006B1892">
        <w:rPr>
          <w:rFonts w:ascii="Verdana" w:hAnsi="Verdana"/>
        </w:rPr>
        <w:t>They are distressing for both patients and relatives.</w:t>
      </w:r>
    </w:p>
    <w:p w:rsidR="004929DE" w:rsidRPr="006B1892" w:rsidRDefault="008F6D06" w:rsidP="00B76387">
      <w:pPr>
        <w:pStyle w:val="ListParagraph"/>
        <w:numPr>
          <w:ilvl w:val="0"/>
          <w:numId w:val="1"/>
        </w:numPr>
        <w:tabs>
          <w:tab w:val="left" w:pos="7455"/>
        </w:tabs>
        <w:spacing w:line="360" w:lineRule="auto"/>
        <w:rPr>
          <w:rFonts w:ascii="Verdana" w:hAnsi="Verdana"/>
        </w:rPr>
      </w:pPr>
      <w:r w:rsidRPr="006B1892">
        <w:rPr>
          <w:rFonts w:ascii="Verdana" w:hAnsi="Verdana"/>
        </w:rPr>
        <w:t>They can contribute to significant delays in unplanned admissions or the cancellation of high risk elective surgery.</w:t>
      </w:r>
    </w:p>
    <w:p w:rsidR="00241DE6" w:rsidRDefault="008F6D06" w:rsidP="00241DE6">
      <w:pPr>
        <w:pStyle w:val="ListParagraph"/>
        <w:numPr>
          <w:ilvl w:val="0"/>
          <w:numId w:val="1"/>
        </w:numPr>
        <w:tabs>
          <w:tab w:val="left" w:pos="7455"/>
        </w:tabs>
        <w:spacing w:after="0" w:line="360" w:lineRule="auto"/>
        <w:rPr>
          <w:rFonts w:ascii="Verdana" w:hAnsi="Verdana"/>
        </w:rPr>
      </w:pPr>
      <w:r w:rsidRPr="006B1892">
        <w:rPr>
          <w:rFonts w:ascii="Verdana" w:hAnsi="Verdana"/>
        </w:rPr>
        <w:t>They can prevent specialist beds from being available.</w:t>
      </w:r>
    </w:p>
    <w:p w:rsidR="008B0059" w:rsidRDefault="008F6D06" w:rsidP="00E00D42">
      <w:pPr>
        <w:pStyle w:val="ListParagraph"/>
        <w:numPr>
          <w:ilvl w:val="1"/>
          <w:numId w:val="7"/>
        </w:numPr>
        <w:tabs>
          <w:tab w:val="left" w:pos="7455"/>
        </w:tabs>
        <w:spacing w:before="120" w:after="0" w:line="360" w:lineRule="auto"/>
        <w:ind w:left="1701" w:hanging="708"/>
        <w:rPr>
          <w:rFonts w:ascii="Verdana" w:hAnsi="Verdana"/>
        </w:rPr>
      </w:pPr>
      <w:r>
        <w:rPr>
          <w:rFonts w:ascii="Verdana" w:hAnsi="Verdana"/>
        </w:rPr>
        <w:t xml:space="preserve">This document has been developed collaboratively by members of the </w:t>
      </w:r>
      <w:r w:rsidRPr="008B0059">
        <w:rPr>
          <w:rFonts w:ascii="Verdana" w:hAnsi="Verdana"/>
        </w:rPr>
        <w:t>East of England Critical Care Operational Delivery Network</w:t>
      </w:r>
      <w:r>
        <w:rPr>
          <w:rFonts w:ascii="Verdana" w:hAnsi="Verdana"/>
        </w:rPr>
        <w:t xml:space="preserve"> (EOE CC ODN)</w:t>
      </w:r>
      <w:r w:rsidRPr="008B0059">
        <w:rPr>
          <w:rFonts w:ascii="Verdana" w:hAnsi="Verdana"/>
        </w:rPr>
        <w:t xml:space="preserve"> </w:t>
      </w:r>
      <w:r>
        <w:rPr>
          <w:rFonts w:ascii="Verdana" w:hAnsi="Verdana"/>
        </w:rPr>
        <w:t>to ensure patients are repatriated to their local hospitals in a timely manner.</w:t>
      </w:r>
    </w:p>
    <w:p w:rsidR="000175B7" w:rsidRPr="005465FD" w:rsidRDefault="008F6D06" w:rsidP="005465FD">
      <w:pPr>
        <w:pStyle w:val="Heading1"/>
        <w:numPr>
          <w:ilvl w:val="0"/>
          <w:numId w:val="5"/>
        </w:numPr>
      </w:pPr>
      <w:bookmarkStart w:id="3" w:name="_Toc275003060"/>
      <w:r w:rsidRPr="005465FD">
        <w:t>Scope</w:t>
      </w:r>
      <w:bookmarkEnd w:id="3"/>
      <w:r w:rsidRPr="005465FD">
        <w:t xml:space="preserve"> </w:t>
      </w:r>
    </w:p>
    <w:p w:rsidR="008B0059" w:rsidRDefault="008F6D06" w:rsidP="00E00D42">
      <w:pPr>
        <w:pStyle w:val="ListParagraph"/>
        <w:numPr>
          <w:ilvl w:val="1"/>
          <w:numId w:val="8"/>
        </w:numPr>
        <w:tabs>
          <w:tab w:val="left" w:pos="7455"/>
        </w:tabs>
        <w:spacing w:before="120" w:after="240" w:line="360" w:lineRule="auto"/>
        <w:ind w:left="1701" w:hanging="708"/>
        <w:rPr>
          <w:rFonts w:ascii="Verdana" w:hAnsi="Verdana"/>
        </w:rPr>
      </w:pPr>
      <w:r w:rsidRPr="004243F0">
        <w:rPr>
          <w:rFonts w:ascii="Verdana" w:hAnsi="Verdana"/>
        </w:rPr>
        <w:t>This policy applies to all the trusts within the East of England</w:t>
      </w:r>
      <w:r>
        <w:rPr>
          <w:rFonts w:ascii="Verdana" w:hAnsi="Verdana"/>
        </w:rPr>
        <w:t>.</w:t>
      </w:r>
    </w:p>
    <w:p w:rsidR="00C93BBD" w:rsidRDefault="008F6D06" w:rsidP="00E00D42">
      <w:pPr>
        <w:pStyle w:val="ListParagraph"/>
        <w:numPr>
          <w:ilvl w:val="1"/>
          <w:numId w:val="8"/>
        </w:numPr>
        <w:tabs>
          <w:tab w:val="left" w:pos="7455"/>
        </w:tabs>
        <w:spacing w:before="120" w:after="0" w:line="360" w:lineRule="auto"/>
        <w:ind w:left="1701" w:hanging="708"/>
        <w:rPr>
          <w:rFonts w:ascii="Verdana" w:hAnsi="Verdana"/>
        </w:rPr>
      </w:pPr>
      <w:r w:rsidRPr="004243F0">
        <w:rPr>
          <w:rFonts w:ascii="Verdana" w:hAnsi="Verdana"/>
        </w:rPr>
        <w:t xml:space="preserve">This policy applies to the management of all </w:t>
      </w:r>
      <w:r>
        <w:rPr>
          <w:rFonts w:ascii="Verdana" w:hAnsi="Verdana"/>
        </w:rPr>
        <w:t xml:space="preserve">adult </w:t>
      </w:r>
      <w:r w:rsidRPr="004243F0">
        <w:rPr>
          <w:rFonts w:ascii="Verdana" w:hAnsi="Verdana"/>
        </w:rPr>
        <w:t>patients who require</w:t>
      </w:r>
      <w:r>
        <w:rPr>
          <w:rFonts w:ascii="Verdana" w:hAnsi="Verdana"/>
        </w:rPr>
        <w:t xml:space="preserve"> </w:t>
      </w:r>
      <w:r w:rsidRPr="004243F0">
        <w:rPr>
          <w:rFonts w:ascii="Verdana" w:hAnsi="Verdana"/>
        </w:rPr>
        <w:t>repatriation to another acute healthcare provider within the East of England</w:t>
      </w:r>
      <w:r w:rsidR="00241FE1">
        <w:rPr>
          <w:rFonts w:ascii="Verdana" w:hAnsi="Verdana"/>
        </w:rPr>
        <w:t>, f</w:t>
      </w:r>
      <w:r>
        <w:rPr>
          <w:rFonts w:ascii="Verdana" w:hAnsi="Verdana"/>
        </w:rPr>
        <w:t>rom either  c</w:t>
      </w:r>
      <w:r w:rsidRPr="004243F0">
        <w:rPr>
          <w:rFonts w:ascii="Verdana" w:hAnsi="Verdana"/>
        </w:rPr>
        <w:t xml:space="preserve">ritical </w:t>
      </w:r>
      <w:r>
        <w:rPr>
          <w:rFonts w:ascii="Verdana" w:hAnsi="Verdana"/>
        </w:rPr>
        <w:t>c</w:t>
      </w:r>
      <w:r w:rsidRPr="004243F0">
        <w:rPr>
          <w:rFonts w:ascii="Verdana" w:hAnsi="Verdana"/>
        </w:rPr>
        <w:t xml:space="preserve">are </w:t>
      </w:r>
      <w:r>
        <w:rPr>
          <w:rFonts w:ascii="Verdana" w:hAnsi="Verdana"/>
        </w:rPr>
        <w:t>s</w:t>
      </w:r>
      <w:r w:rsidRPr="004243F0">
        <w:rPr>
          <w:rFonts w:ascii="Verdana" w:hAnsi="Verdana"/>
        </w:rPr>
        <w:t xml:space="preserve">ervices to </w:t>
      </w:r>
      <w:r>
        <w:rPr>
          <w:rFonts w:ascii="Verdana" w:hAnsi="Verdana"/>
        </w:rPr>
        <w:t>c</w:t>
      </w:r>
      <w:r w:rsidRPr="004243F0">
        <w:rPr>
          <w:rFonts w:ascii="Verdana" w:hAnsi="Verdana"/>
        </w:rPr>
        <w:t xml:space="preserve">ritical </w:t>
      </w:r>
      <w:r>
        <w:rPr>
          <w:rFonts w:ascii="Verdana" w:hAnsi="Verdana"/>
        </w:rPr>
        <w:t>c</w:t>
      </w:r>
      <w:r w:rsidRPr="004243F0">
        <w:rPr>
          <w:rFonts w:ascii="Verdana" w:hAnsi="Verdana"/>
        </w:rPr>
        <w:t xml:space="preserve">are </w:t>
      </w:r>
      <w:r w:rsidR="00241FE1">
        <w:rPr>
          <w:rFonts w:ascii="Verdana" w:hAnsi="Verdana"/>
        </w:rPr>
        <w:t>or to</w:t>
      </w:r>
      <w:r w:rsidRPr="004243F0">
        <w:rPr>
          <w:rFonts w:ascii="Verdana" w:hAnsi="Verdana"/>
        </w:rPr>
        <w:t xml:space="preserve"> ward.</w:t>
      </w:r>
      <w:r w:rsidRPr="005465FD">
        <w:rPr>
          <w:rFonts w:ascii="Verdana" w:hAnsi="Verdana"/>
        </w:rPr>
        <w:t xml:space="preserve"> </w:t>
      </w:r>
      <w:r>
        <w:rPr>
          <w:rFonts w:ascii="Verdana" w:hAnsi="Verdana"/>
        </w:rPr>
        <w:t xml:space="preserve"> </w:t>
      </w:r>
    </w:p>
    <w:p w:rsidR="004929DE" w:rsidRPr="005465FD" w:rsidRDefault="008F6D06" w:rsidP="00E00D42">
      <w:pPr>
        <w:pStyle w:val="ListParagraph"/>
        <w:numPr>
          <w:ilvl w:val="1"/>
          <w:numId w:val="8"/>
        </w:numPr>
        <w:tabs>
          <w:tab w:val="left" w:pos="7455"/>
        </w:tabs>
        <w:spacing w:before="120" w:after="0" w:line="360" w:lineRule="auto"/>
        <w:ind w:left="1701" w:hanging="708"/>
        <w:rPr>
          <w:rFonts w:ascii="Verdana" w:hAnsi="Verdana"/>
        </w:rPr>
      </w:pPr>
      <w:r w:rsidRPr="00C93BBD">
        <w:rPr>
          <w:rFonts w:ascii="Verdana" w:hAnsi="Verdana"/>
        </w:rPr>
        <w:t xml:space="preserve">This policy </w:t>
      </w:r>
      <w:r>
        <w:rPr>
          <w:rFonts w:ascii="Verdana" w:hAnsi="Verdana"/>
        </w:rPr>
        <w:t xml:space="preserve">applies to </w:t>
      </w:r>
      <w:r w:rsidRPr="00C93BBD">
        <w:rPr>
          <w:rFonts w:ascii="Verdana" w:hAnsi="Verdana"/>
        </w:rPr>
        <w:t xml:space="preserve">adult </w:t>
      </w:r>
      <w:r>
        <w:rPr>
          <w:rFonts w:ascii="Verdana" w:hAnsi="Verdana"/>
        </w:rPr>
        <w:t xml:space="preserve">(over 16 years of age) </w:t>
      </w:r>
      <w:r w:rsidRPr="00C93BBD">
        <w:rPr>
          <w:rFonts w:ascii="Verdana" w:hAnsi="Verdana"/>
        </w:rPr>
        <w:t>patients only</w:t>
      </w:r>
      <w:r>
        <w:rPr>
          <w:rFonts w:ascii="Verdana" w:hAnsi="Verdana"/>
        </w:rPr>
        <w:t>.</w:t>
      </w:r>
      <w:r w:rsidRPr="00C93BBD">
        <w:rPr>
          <w:rFonts w:ascii="Verdana" w:hAnsi="Verdana"/>
        </w:rPr>
        <w:t xml:space="preserve"> </w:t>
      </w:r>
    </w:p>
    <w:p w:rsidR="004929DE" w:rsidRPr="005465FD" w:rsidRDefault="008F6D06" w:rsidP="005465FD">
      <w:pPr>
        <w:pStyle w:val="Heading1"/>
        <w:numPr>
          <w:ilvl w:val="0"/>
          <w:numId w:val="5"/>
        </w:numPr>
      </w:pPr>
      <w:bookmarkStart w:id="4" w:name="_Toc275003061"/>
      <w:r w:rsidRPr="005465FD">
        <w:t>Purpose</w:t>
      </w:r>
      <w:bookmarkEnd w:id="4"/>
    </w:p>
    <w:p w:rsidR="004929DE" w:rsidRPr="005465FD" w:rsidRDefault="008F6D06" w:rsidP="00E00D42">
      <w:pPr>
        <w:pStyle w:val="ListParagraph"/>
        <w:numPr>
          <w:ilvl w:val="1"/>
          <w:numId w:val="9"/>
        </w:numPr>
        <w:tabs>
          <w:tab w:val="left" w:pos="7455"/>
        </w:tabs>
        <w:spacing w:before="120" w:after="240" w:line="360" w:lineRule="auto"/>
        <w:ind w:left="1701" w:hanging="708"/>
        <w:rPr>
          <w:rFonts w:ascii="Verdana" w:hAnsi="Verdana"/>
        </w:rPr>
      </w:pPr>
      <w:r w:rsidRPr="00B86FE5">
        <w:rPr>
          <w:rFonts w:ascii="Verdana" w:hAnsi="Verdana"/>
        </w:rPr>
        <w:t>To provide a clear and concise description of the procedures</w:t>
      </w:r>
      <w:r>
        <w:rPr>
          <w:rFonts w:ascii="Verdana" w:hAnsi="Verdana"/>
        </w:rPr>
        <w:t xml:space="preserve"> and timescales</w:t>
      </w:r>
      <w:r w:rsidRPr="00B86FE5">
        <w:rPr>
          <w:rFonts w:ascii="Verdana" w:hAnsi="Verdana"/>
        </w:rPr>
        <w:t xml:space="preserve"> to allow repatriation of patients from specialis</w:t>
      </w:r>
      <w:r>
        <w:rPr>
          <w:rFonts w:ascii="Verdana" w:hAnsi="Verdana"/>
        </w:rPr>
        <w:t>t</w:t>
      </w:r>
      <w:r w:rsidRPr="00B86FE5">
        <w:rPr>
          <w:rFonts w:ascii="Verdana" w:hAnsi="Verdana"/>
        </w:rPr>
        <w:t xml:space="preserve"> areas or from general adult </w:t>
      </w:r>
      <w:r>
        <w:rPr>
          <w:rFonts w:ascii="Verdana" w:hAnsi="Verdana"/>
        </w:rPr>
        <w:t xml:space="preserve">critical care services </w:t>
      </w:r>
      <w:r w:rsidRPr="00B86FE5">
        <w:rPr>
          <w:rFonts w:ascii="Verdana" w:hAnsi="Verdana"/>
        </w:rPr>
        <w:t xml:space="preserve">to local hospital in the </w:t>
      </w:r>
      <w:r>
        <w:rPr>
          <w:rFonts w:ascii="Verdana" w:hAnsi="Verdana"/>
        </w:rPr>
        <w:t>E</w:t>
      </w:r>
      <w:r w:rsidRPr="00B86FE5">
        <w:rPr>
          <w:rFonts w:ascii="Verdana" w:hAnsi="Verdana"/>
        </w:rPr>
        <w:t>ast of England either critical care or ward level</w:t>
      </w:r>
      <w:r>
        <w:rPr>
          <w:rFonts w:ascii="Verdana" w:hAnsi="Verdana"/>
        </w:rPr>
        <w:t xml:space="preserve"> in a timely manner</w:t>
      </w:r>
      <w:r w:rsidRPr="00B86FE5">
        <w:rPr>
          <w:rFonts w:ascii="Verdana" w:hAnsi="Verdana"/>
        </w:rPr>
        <w:t>.</w:t>
      </w:r>
    </w:p>
    <w:p w:rsidR="004929DE" w:rsidRPr="005465FD" w:rsidRDefault="008F6D06" w:rsidP="00E00D42">
      <w:pPr>
        <w:pStyle w:val="ListParagraph"/>
        <w:numPr>
          <w:ilvl w:val="1"/>
          <w:numId w:val="9"/>
        </w:numPr>
        <w:tabs>
          <w:tab w:val="left" w:pos="7455"/>
        </w:tabs>
        <w:spacing w:before="120" w:after="240" w:line="360" w:lineRule="auto"/>
        <w:ind w:left="1701" w:hanging="708"/>
        <w:rPr>
          <w:rFonts w:ascii="Verdana" w:hAnsi="Verdana"/>
        </w:rPr>
      </w:pPr>
      <w:r w:rsidRPr="00B86FE5">
        <w:rPr>
          <w:rFonts w:ascii="Verdana" w:hAnsi="Verdana"/>
        </w:rPr>
        <w:t>This policy outlines expectation of all hospitals in the East of England</w:t>
      </w:r>
      <w:r>
        <w:rPr>
          <w:rFonts w:ascii="Verdana" w:hAnsi="Verdana"/>
        </w:rPr>
        <w:t xml:space="preserve"> </w:t>
      </w:r>
      <w:r w:rsidRPr="005465FD">
        <w:rPr>
          <w:rFonts w:ascii="Verdana" w:hAnsi="Verdana"/>
        </w:rPr>
        <w:t>to repatriate patients back to an appropriate local hospital in a timely manner.</w:t>
      </w:r>
    </w:p>
    <w:p w:rsidR="00D942E9" w:rsidRPr="00B27781" w:rsidRDefault="008F6D06" w:rsidP="00E00D42">
      <w:pPr>
        <w:pStyle w:val="ListParagraph"/>
        <w:numPr>
          <w:ilvl w:val="1"/>
          <w:numId w:val="9"/>
        </w:numPr>
        <w:tabs>
          <w:tab w:val="left" w:pos="7455"/>
        </w:tabs>
        <w:spacing w:before="120" w:after="240" w:line="360" w:lineRule="auto"/>
        <w:ind w:left="1701" w:hanging="708"/>
        <w:rPr>
          <w:rFonts w:ascii="Verdana" w:hAnsi="Verdana"/>
        </w:rPr>
      </w:pPr>
      <w:r>
        <w:rPr>
          <w:rFonts w:ascii="Verdana" w:hAnsi="Verdana"/>
        </w:rPr>
        <w:t xml:space="preserve">Patients requiring repatriation can be classified under the following </w:t>
      </w:r>
      <w:r w:rsidRPr="00B27781">
        <w:rPr>
          <w:rFonts w:ascii="Verdana" w:hAnsi="Verdana"/>
        </w:rPr>
        <w:t>broad areas</w:t>
      </w:r>
    </w:p>
    <w:p w:rsidR="00175D80" w:rsidRDefault="008F6D06" w:rsidP="00424F32">
      <w:pPr>
        <w:pStyle w:val="ListParagraph"/>
        <w:numPr>
          <w:ilvl w:val="0"/>
          <w:numId w:val="1"/>
        </w:numPr>
        <w:tabs>
          <w:tab w:val="left" w:pos="7455"/>
        </w:tabs>
        <w:spacing w:after="0" w:line="360" w:lineRule="auto"/>
        <w:rPr>
          <w:rFonts w:ascii="Verdana" w:hAnsi="Verdana"/>
        </w:rPr>
      </w:pPr>
      <w:r>
        <w:rPr>
          <w:rFonts w:ascii="Verdana" w:hAnsi="Verdana"/>
        </w:rPr>
        <w:lastRenderedPageBreak/>
        <w:t xml:space="preserve">Patients whose specialist in patient care completed but requires ongoing hospitalisation available in local hospital regardless of the level of care required in the local hospital. </w:t>
      </w:r>
    </w:p>
    <w:p w:rsidR="001B5EC6" w:rsidRPr="001B5EC6" w:rsidRDefault="008F6D06" w:rsidP="00424F32">
      <w:pPr>
        <w:pStyle w:val="ListParagraph"/>
        <w:numPr>
          <w:ilvl w:val="0"/>
          <w:numId w:val="1"/>
        </w:numPr>
        <w:tabs>
          <w:tab w:val="left" w:pos="7455"/>
        </w:tabs>
        <w:spacing w:after="0" w:line="360" w:lineRule="auto"/>
        <w:rPr>
          <w:rFonts w:ascii="Verdana" w:hAnsi="Verdana"/>
        </w:rPr>
      </w:pPr>
      <w:r>
        <w:rPr>
          <w:rFonts w:ascii="Verdana" w:hAnsi="Verdana"/>
        </w:rPr>
        <w:t>Patients who are admitted to hospital outside of local area due to lack of beds in their own hospital.</w:t>
      </w:r>
    </w:p>
    <w:p w:rsidR="00C22C86" w:rsidRDefault="008F6D06" w:rsidP="00424F32">
      <w:pPr>
        <w:pStyle w:val="ListParagraph"/>
        <w:numPr>
          <w:ilvl w:val="0"/>
          <w:numId w:val="1"/>
        </w:numPr>
        <w:tabs>
          <w:tab w:val="left" w:pos="7455"/>
        </w:tabs>
        <w:spacing w:after="0" w:line="360" w:lineRule="auto"/>
        <w:rPr>
          <w:rFonts w:ascii="Verdana" w:hAnsi="Verdana"/>
        </w:rPr>
      </w:pPr>
      <w:r>
        <w:rPr>
          <w:rFonts w:ascii="Verdana" w:hAnsi="Verdana"/>
        </w:rPr>
        <w:t>Patients who are taken sick within the East of England and admitted outside of their local area.</w:t>
      </w:r>
    </w:p>
    <w:p w:rsidR="00CC57AC" w:rsidRPr="00424F32" w:rsidRDefault="008F6D06" w:rsidP="00E00D42">
      <w:pPr>
        <w:pStyle w:val="ListParagraph"/>
        <w:numPr>
          <w:ilvl w:val="1"/>
          <w:numId w:val="9"/>
        </w:numPr>
        <w:tabs>
          <w:tab w:val="left" w:pos="7455"/>
        </w:tabs>
        <w:spacing w:before="120" w:after="240" w:line="360" w:lineRule="auto"/>
        <w:ind w:left="1701" w:hanging="708"/>
        <w:rPr>
          <w:rFonts w:ascii="Verdana" w:hAnsi="Verdana"/>
        </w:rPr>
      </w:pPr>
      <w:r w:rsidRPr="00424F32">
        <w:rPr>
          <w:rFonts w:ascii="Verdana" w:hAnsi="Verdana"/>
        </w:rPr>
        <w:t>It is acknowledged that the process for accepting a patient varies from one hospital to another across the ODN. Therefore all hospitals must have readily available and transparent admission processes and policies in place which do not impede the process of repatriation. Such policies should allow for effective and timely repatriation, these should include process for identification of clinical teams who will</w:t>
      </w:r>
      <w:r>
        <w:rPr>
          <w:rFonts w:ascii="Verdana" w:hAnsi="Verdana"/>
        </w:rPr>
        <w:t xml:space="preserve"> </w:t>
      </w:r>
      <w:r w:rsidRPr="00424F32">
        <w:rPr>
          <w:rFonts w:ascii="Verdana" w:hAnsi="Verdana"/>
        </w:rPr>
        <w:t xml:space="preserve">accept referrals of patients requiring repatriation. These agreements should be shared with the network for dissemination. </w:t>
      </w:r>
    </w:p>
    <w:p w:rsidR="00CC344B" w:rsidRDefault="008F6D06" w:rsidP="00E00D42">
      <w:pPr>
        <w:pStyle w:val="ListParagraph"/>
        <w:numPr>
          <w:ilvl w:val="1"/>
          <w:numId w:val="9"/>
        </w:numPr>
        <w:tabs>
          <w:tab w:val="left" w:pos="7455"/>
        </w:tabs>
        <w:spacing w:before="120" w:after="240" w:line="360" w:lineRule="auto"/>
        <w:ind w:left="1701" w:hanging="708"/>
        <w:rPr>
          <w:rFonts w:ascii="Verdana" w:hAnsi="Verdana"/>
        </w:rPr>
      </w:pPr>
      <w:r w:rsidRPr="00B86FE5">
        <w:rPr>
          <w:rFonts w:ascii="Verdana" w:hAnsi="Verdana"/>
        </w:rPr>
        <w:t xml:space="preserve">This policy does not address other transfer issues. </w:t>
      </w:r>
    </w:p>
    <w:p w:rsidR="009D4669" w:rsidRPr="00E00D42" w:rsidRDefault="008F6D06" w:rsidP="00E00D42">
      <w:pPr>
        <w:pStyle w:val="Heading1"/>
        <w:numPr>
          <w:ilvl w:val="0"/>
          <w:numId w:val="5"/>
        </w:numPr>
        <w:spacing w:after="240"/>
      </w:pPr>
      <w:bookmarkStart w:id="5" w:name="_Toc275003062"/>
      <w:r w:rsidRPr="00E00D42">
        <w:rPr>
          <w:bCs w:val="0"/>
        </w:rPr>
        <w:t>Policy Aim</w:t>
      </w:r>
      <w:bookmarkEnd w:id="5"/>
    </w:p>
    <w:p w:rsidR="009D4669" w:rsidRDefault="00241FE1" w:rsidP="009D4669">
      <w:pPr>
        <w:pStyle w:val="ListParagraph"/>
        <w:tabs>
          <w:tab w:val="left" w:pos="7455"/>
        </w:tabs>
        <w:spacing w:line="360" w:lineRule="auto"/>
        <w:rPr>
          <w:rFonts w:ascii="Verdana" w:hAnsi="Verdana"/>
          <w:b/>
          <w:sz w:val="18"/>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1085462</wp:posOffset>
                </wp:positionH>
                <wp:positionV relativeFrom="paragraph">
                  <wp:posOffset>41882</wp:posOffset>
                </wp:positionV>
                <wp:extent cx="5605449" cy="11144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449" cy="1114425"/>
                        </a:xfrm>
                        <a:prstGeom prst="rect">
                          <a:avLst/>
                        </a:prstGeom>
                        <a:solidFill>
                          <a:srgbClr val="FFFFFF"/>
                        </a:solidFill>
                        <a:ln w="9525">
                          <a:solidFill>
                            <a:srgbClr val="000000"/>
                          </a:solidFill>
                          <a:miter lim="800000"/>
                          <a:headEnd/>
                          <a:tailEnd/>
                        </a:ln>
                      </wps:spPr>
                      <wps:txbx>
                        <w:txbxContent>
                          <w:p w:rsidR="00602099" w:rsidRPr="001B093D" w:rsidRDefault="008F6D06" w:rsidP="009D4669">
                            <w:pPr>
                              <w:pStyle w:val="ListParagraph"/>
                              <w:tabs>
                                <w:tab w:val="left" w:pos="7455"/>
                              </w:tabs>
                              <w:spacing w:line="360" w:lineRule="auto"/>
                              <w:ind w:left="0"/>
                              <w:jc w:val="center"/>
                              <w:rPr>
                                <w:rFonts w:ascii="Verdana" w:hAnsi="Verdana"/>
                                <w:b/>
                                <w:sz w:val="24"/>
                                <w:szCs w:val="24"/>
                                <w:u w:val="single"/>
                              </w:rPr>
                            </w:pPr>
                            <w:r w:rsidRPr="00E050F4">
                              <w:rPr>
                                <w:rFonts w:ascii="Verdana" w:hAnsi="Verdana"/>
                                <w:b/>
                              </w:rPr>
                              <w:t xml:space="preserve">All </w:t>
                            </w:r>
                            <w:r>
                              <w:rPr>
                                <w:rFonts w:ascii="Verdana" w:hAnsi="Verdana"/>
                                <w:b/>
                              </w:rPr>
                              <w:t xml:space="preserve">adult </w:t>
                            </w:r>
                            <w:r w:rsidRPr="00E050F4">
                              <w:rPr>
                                <w:rFonts w:ascii="Verdana" w:hAnsi="Verdana"/>
                                <w:b/>
                              </w:rPr>
                              <w:t>patients, once assessed as clinically fit for transfer</w:t>
                            </w:r>
                            <w:r>
                              <w:rPr>
                                <w:rFonts w:ascii="Verdana" w:hAnsi="Verdana"/>
                                <w:b/>
                              </w:rPr>
                              <w:t xml:space="preserve"> by a critical care consultant from the referring centre</w:t>
                            </w:r>
                            <w:r w:rsidRPr="00E050F4">
                              <w:rPr>
                                <w:rFonts w:ascii="Verdana" w:hAnsi="Verdana"/>
                                <w:b/>
                              </w:rPr>
                              <w:t>, will be repatriated within 48 hours</w:t>
                            </w:r>
                            <w:r>
                              <w:rPr>
                                <w:rFonts w:ascii="Verdana" w:hAnsi="Verdana"/>
                                <w:b/>
                              </w:rPr>
                              <w:t xml:space="preserve"> from the time of referral to either critical care or to ward level.</w:t>
                            </w:r>
                            <w:r w:rsidRPr="00E050F4">
                              <w:rPr>
                                <w:rFonts w:ascii="Verdana" w:hAnsi="Verdana"/>
                                <w:b/>
                              </w:rPr>
                              <w:t xml:space="preserve"> </w:t>
                            </w:r>
                          </w:p>
                          <w:p w:rsidR="00602099" w:rsidRDefault="00D50DE9" w:rsidP="009D4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45pt;margin-top:3.3pt;width:441.3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">
                <v:textbox>
                  <w:txbxContent>
                    <w:p w:rsidR="00602099" w:rsidRPr="001B093D" w:rsidRDefault="008F6D06" w:rsidP="009D4669">
                      <w:pPr>
                        <w:pStyle w:val="ListParagraph"/>
                        <w:tabs>
                          <w:tab w:val="left" w:pos="7455"/>
                        </w:tabs>
                        <w:spacing w:line="360" w:lineRule="auto"/>
                        <w:ind w:left="0"/>
                        <w:jc w:val="center"/>
                        <w:rPr>
                          <w:rFonts w:ascii="Verdana" w:hAnsi="Verdana"/>
                          <w:b/>
                          <w:sz w:val="24"/>
                          <w:szCs w:val="24"/>
                          <w:u w:val="single"/>
                        </w:rPr>
                      </w:pPr>
                      <w:r w:rsidRPr="00E050F4">
                        <w:rPr>
                          <w:rFonts w:ascii="Verdana" w:hAnsi="Verdana"/>
                          <w:b/>
                        </w:rPr>
                        <w:t xml:space="preserve">All </w:t>
                      </w:r>
                      <w:r>
                        <w:rPr>
                          <w:rFonts w:ascii="Verdana" w:hAnsi="Verdana"/>
                          <w:b/>
                        </w:rPr>
                        <w:t xml:space="preserve">adult </w:t>
                      </w:r>
                      <w:r w:rsidRPr="00E050F4">
                        <w:rPr>
                          <w:rFonts w:ascii="Verdana" w:hAnsi="Verdana"/>
                          <w:b/>
                        </w:rPr>
                        <w:t>patients, once assessed as clinically fit for transfer</w:t>
                      </w:r>
                      <w:r>
                        <w:rPr>
                          <w:rFonts w:ascii="Verdana" w:hAnsi="Verdana"/>
                          <w:b/>
                        </w:rPr>
                        <w:t xml:space="preserve"> by a critical care consultant from the referring centre</w:t>
                      </w:r>
                      <w:r w:rsidRPr="00E050F4">
                        <w:rPr>
                          <w:rFonts w:ascii="Verdana" w:hAnsi="Verdana"/>
                          <w:b/>
                        </w:rPr>
                        <w:t>, will be repatriated within 48 hours</w:t>
                      </w:r>
                      <w:r>
                        <w:rPr>
                          <w:rFonts w:ascii="Verdana" w:hAnsi="Verdana"/>
                          <w:b/>
                        </w:rPr>
                        <w:t xml:space="preserve"> from the time of referral to either critical care or to ward level.</w:t>
                      </w:r>
                      <w:r w:rsidRPr="00E050F4">
                        <w:rPr>
                          <w:rFonts w:ascii="Verdana" w:hAnsi="Verdana"/>
                          <w:b/>
                        </w:rPr>
                        <w:t xml:space="preserve"> </w:t>
                      </w:r>
                    </w:p>
                    <w:p w:rsidR="00602099" w:rsidRDefault="00D50DE9" w:rsidP="009D4669"/>
                  </w:txbxContent>
                </v:textbox>
              </v:shape>
            </w:pict>
          </mc:Fallback>
        </mc:AlternateContent>
      </w:r>
    </w:p>
    <w:p w:rsidR="009D4669" w:rsidRPr="00E050F4" w:rsidRDefault="00D50DE9" w:rsidP="009D4669">
      <w:pPr>
        <w:tabs>
          <w:tab w:val="left" w:pos="7455"/>
        </w:tabs>
        <w:spacing w:line="360" w:lineRule="auto"/>
        <w:rPr>
          <w:rFonts w:ascii="Verdana" w:hAnsi="Verdana"/>
          <w:b/>
          <w:sz w:val="18"/>
          <w:szCs w:val="18"/>
        </w:rPr>
      </w:pPr>
    </w:p>
    <w:p w:rsidR="006D4362" w:rsidRPr="006D4362" w:rsidRDefault="00D50DE9" w:rsidP="006D4362">
      <w:pPr>
        <w:tabs>
          <w:tab w:val="left" w:pos="7455"/>
        </w:tabs>
        <w:spacing w:line="360" w:lineRule="auto"/>
        <w:rPr>
          <w:rFonts w:ascii="Verdana" w:hAnsi="Verdana"/>
          <w:b/>
          <w:sz w:val="18"/>
          <w:szCs w:val="18"/>
        </w:rPr>
      </w:pPr>
    </w:p>
    <w:p w:rsidR="006D4362" w:rsidRDefault="00D50DE9" w:rsidP="009D4669">
      <w:pPr>
        <w:pStyle w:val="ListParagraph"/>
        <w:tabs>
          <w:tab w:val="left" w:pos="7455"/>
        </w:tabs>
        <w:spacing w:line="360" w:lineRule="auto"/>
        <w:rPr>
          <w:rFonts w:ascii="Verdana" w:hAnsi="Verdana"/>
          <w:b/>
          <w:sz w:val="18"/>
          <w:szCs w:val="18"/>
        </w:rPr>
      </w:pP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24F32">
        <w:rPr>
          <w:rFonts w:ascii="Verdana" w:hAnsi="Verdana"/>
        </w:rPr>
        <w:t xml:space="preserve">Repatriation will take place once the patient’s condition is stable in respect of the specialism which required admission. There must be a clear on going management plan. The patient has been deemed clinically fit to transfer and is medically safe to transfer (eg critical care to critical care) </w:t>
      </w: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6D4362">
        <w:rPr>
          <w:rFonts w:ascii="Verdana" w:hAnsi="Verdana"/>
        </w:rPr>
        <w:t xml:space="preserve">In exceptional circumstances more rapid repatriation may be needed </w:t>
      </w:r>
      <w:r w:rsidRPr="00424F32">
        <w:rPr>
          <w:rFonts w:ascii="Verdana" w:hAnsi="Verdana"/>
        </w:rPr>
        <w:t>to allow specialist centres to continue to offer unimpeded access to speciality beds and local units should make every effort to facilitate this.</w:t>
      </w:r>
    </w:p>
    <w:p w:rsidR="00723C33"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C5020">
        <w:rPr>
          <w:rFonts w:ascii="Verdana" w:hAnsi="Verdana"/>
        </w:rPr>
        <w:t xml:space="preserve">Trusts’ </w:t>
      </w:r>
      <w:r>
        <w:rPr>
          <w:rFonts w:ascii="Verdana" w:hAnsi="Verdana"/>
        </w:rPr>
        <w:t xml:space="preserve">will </w:t>
      </w:r>
      <w:r w:rsidRPr="004C5020">
        <w:rPr>
          <w:rFonts w:ascii="Verdana" w:hAnsi="Verdana"/>
        </w:rPr>
        <w:t xml:space="preserve">need assistance from their ‘Operations Teams’ </w:t>
      </w:r>
      <w:r>
        <w:rPr>
          <w:rFonts w:ascii="Verdana" w:hAnsi="Verdana"/>
        </w:rPr>
        <w:t xml:space="preserve">(e.g. Bed/Site Management) </w:t>
      </w:r>
      <w:r w:rsidRPr="004C5020">
        <w:rPr>
          <w:rFonts w:ascii="Verdana" w:hAnsi="Verdana"/>
        </w:rPr>
        <w:t xml:space="preserve">to </w:t>
      </w:r>
      <w:r>
        <w:rPr>
          <w:rFonts w:ascii="Verdana" w:hAnsi="Verdana"/>
        </w:rPr>
        <w:t>s</w:t>
      </w:r>
      <w:r w:rsidRPr="004C5020">
        <w:rPr>
          <w:rFonts w:ascii="Verdana" w:hAnsi="Verdana"/>
        </w:rPr>
        <w:t>upport repatriating patients who have completed their specialist care or are ready to repatriate from critical</w:t>
      </w:r>
      <w:r>
        <w:rPr>
          <w:rFonts w:ascii="Verdana" w:hAnsi="Verdana"/>
        </w:rPr>
        <w:t xml:space="preserve"> </w:t>
      </w:r>
      <w:r w:rsidRPr="004C5020">
        <w:rPr>
          <w:rFonts w:ascii="Verdana" w:hAnsi="Verdana"/>
        </w:rPr>
        <w:t>care services to critical care or ward level in local hospital.</w:t>
      </w: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24F32">
        <w:rPr>
          <w:rFonts w:ascii="Verdana" w:hAnsi="Verdana"/>
        </w:rPr>
        <w:t>Repatriation of patients at times becomes complex and requires all Trusts’ to work in partnership in the best interest of patients.</w:t>
      </w: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24F32">
        <w:rPr>
          <w:rFonts w:ascii="Verdana" w:hAnsi="Verdana"/>
        </w:rPr>
        <w:lastRenderedPageBreak/>
        <w:t>All trusts will keep a record of all repatriation referrals, time of referral from specialist area or general critical care area, when admitted and reasons for refusal or delay.</w:t>
      </w: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24F32">
        <w:rPr>
          <w:rFonts w:ascii="Verdana" w:hAnsi="Verdana"/>
        </w:rPr>
        <w:t>Relatives of patients requiring repatriat</w:t>
      </w:r>
      <w:r>
        <w:rPr>
          <w:rFonts w:ascii="Verdana" w:hAnsi="Verdana"/>
        </w:rPr>
        <w:t>ion will be kept fully informed</w:t>
      </w:r>
      <w:r w:rsidRPr="00424F32">
        <w:rPr>
          <w:rFonts w:ascii="Verdana" w:hAnsi="Verdana"/>
        </w:rPr>
        <w:t xml:space="preserve"> of progress</w:t>
      </w:r>
      <w:r w:rsidR="00234AAC">
        <w:rPr>
          <w:rFonts w:ascii="Verdana" w:hAnsi="Verdana"/>
        </w:rPr>
        <w:t xml:space="preserve"> of repatriation and any changes in patient condition, these discussions must be </w:t>
      </w:r>
      <w:r w:rsidRPr="00424F32">
        <w:rPr>
          <w:rFonts w:ascii="Verdana" w:hAnsi="Verdana"/>
        </w:rPr>
        <w:t>recorded.</w:t>
      </w:r>
    </w:p>
    <w:p w:rsidR="009D4669" w:rsidRPr="00424F32" w:rsidRDefault="008F6D06" w:rsidP="00E00D42">
      <w:pPr>
        <w:pStyle w:val="ListParagraph"/>
        <w:numPr>
          <w:ilvl w:val="1"/>
          <w:numId w:val="10"/>
        </w:numPr>
        <w:tabs>
          <w:tab w:val="left" w:pos="7455"/>
        </w:tabs>
        <w:spacing w:before="120" w:after="240" w:line="360" w:lineRule="auto"/>
        <w:ind w:left="1701" w:hanging="708"/>
        <w:rPr>
          <w:rFonts w:ascii="Verdana" w:hAnsi="Verdana"/>
        </w:rPr>
      </w:pPr>
      <w:r w:rsidRPr="00424F32">
        <w:rPr>
          <w:rFonts w:ascii="Verdana" w:hAnsi="Verdana"/>
        </w:rPr>
        <w:t>Where possible all patients should have a predicted date of discharge (PDD) established on admission and notified to the identified local hospital.</w:t>
      </w:r>
    </w:p>
    <w:p w:rsidR="00EA1352" w:rsidRPr="00E00D42" w:rsidRDefault="008F6D06" w:rsidP="00E00D42">
      <w:pPr>
        <w:pStyle w:val="Heading1"/>
        <w:numPr>
          <w:ilvl w:val="0"/>
          <w:numId w:val="5"/>
        </w:numPr>
        <w:spacing w:after="240"/>
        <w:rPr>
          <w:bCs w:val="0"/>
        </w:rPr>
      </w:pPr>
      <w:bookmarkStart w:id="6" w:name="_Toc275003063"/>
      <w:r w:rsidRPr="00E00D42">
        <w:rPr>
          <w:bCs w:val="0"/>
        </w:rPr>
        <w:t>Definitions</w:t>
      </w:r>
      <w:bookmarkEnd w:id="6"/>
    </w:p>
    <w:p w:rsidR="00E00D42" w:rsidRDefault="008F6D06" w:rsidP="00E00D42">
      <w:pPr>
        <w:tabs>
          <w:tab w:val="left" w:pos="7455"/>
        </w:tabs>
        <w:spacing w:after="0" w:line="360" w:lineRule="auto"/>
        <w:ind w:left="426"/>
        <w:rPr>
          <w:rFonts w:ascii="Verdana" w:hAnsi="Verdana"/>
        </w:rPr>
      </w:pPr>
      <w:r w:rsidRPr="00E00D42">
        <w:rPr>
          <w:rFonts w:ascii="Verdana" w:hAnsi="Verdana"/>
          <w:b/>
        </w:rPr>
        <w:t>Repatriation</w:t>
      </w:r>
      <w:r>
        <w:rPr>
          <w:rFonts w:ascii="Verdana" w:hAnsi="Verdana"/>
        </w:rPr>
        <w:t xml:space="preserve"> </w:t>
      </w:r>
      <w:r w:rsidRPr="00480CFE">
        <w:rPr>
          <w:rFonts w:ascii="Verdana" w:hAnsi="Verdana"/>
        </w:rPr>
        <w:t xml:space="preserve"> - Repatriation refers to a patient returning to the</w:t>
      </w:r>
      <w:r>
        <w:rPr>
          <w:rFonts w:ascii="Verdana" w:hAnsi="Verdana"/>
        </w:rPr>
        <w:t xml:space="preserve"> </w:t>
      </w:r>
      <w:r w:rsidRPr="00480CFE">
        <w:rPr>
          <w:rFonts w:ascii="Verdana" w:hAnsi="Verdana"/>
        </w:rPr>
        <w:t>local hospital either due to speciality care completed or returning to</w:t>
      </w:r>
      <w:r>
        <w:rPr>
          <w:rFonts w:ascii="Verdana" w:hAnsi="Verdana"/>
        </w:rPr>
        <w:t xml:space="preserve"> l</w:t>
      </w:r>
      <w:r w:rsidRPr="00480CFE">
        <w:rPr>
          <w:rFonts w:ascii="Verdana" w:hAnsi="Verdana"/>
        </w:rPr>
        <w:t>ocal hospital to complete in-patient stay either critical care or to</w:t>
      </w:r>
      <w:r>
        <w:rPr>
          <w:rFonts w:ascii="Verdana" w:hAnsi="Verdana"/>
        </w:rPr>
        <w:t xml:space="preserve"> </w:t>
      </w:r>
      <w:r w:rsidRPr="00480CFE">
        <w:rPr>
          <w:rFonts w:ascii="Verdana" w:hAnsi="Verdana"/>
        </w:rPr>
        <w:t>ward level</w:t>
      </w:r>
    </w:p>
    <w:p w:rsidR="00723C33" w:rsidRPr="00E00D42" w:rsidRDefault="008F6D06" w:rsidP="00E00D42">
      <w:pPr>
        <w:tabs>
          <w:tab w:val="left" w:pos="7455"/>
        </w:tabs>
        <w:spacing w:after="0" w:line="360" w:lineRule="auto"/>
        <w:ind w:left="426"/>
        <w:rPr>
          <w:rFonts w:ascii="Verdana" w:hAnsi="Verdana"/>
        </w:rPr>
      </w:pPr>
      <w:r w:rsidRPr="00E00D42">
        <w:rPr>
          <w:rFonts w:ascii="Verdana" w:hAnsi="Verdana"/>
          <w:b/>
        </w:rPr>
        <w:t xml:space="preserve">Delayed Repatriation </w:t>
      </w:r>
      <w:r w:rsidRPr="00E00D42">
        <w:rPr>
          <w:rFonts w:ascii="Verdana" w:hAnsi="Verdana"/>
        </w:rPr>
        <w:t>– When a patient has not been repatriated within 48</w:t>
      </w:r>
      <w:r w:rsidR="004C58F3">
        <w:rPr>
          <w:rFonts w:ascii="Verdana" w:hAnsi="Verdana"/>
        </w:rPr>
        <w:t xml:space="preserve"> </w:t>
      </w:r>
      <w:r w:rsidRPr="00E00D42">
        <w:rPr>
          <w:rFonts w:ascii="Verdana" w:hAnsi="Verdana"/>
        </w:rPr>
        <w:t>hours after the first critical care consultant to critical care consultant referral.</w:t>
      </w:r>
    </w:p>
    <w:p w:rsidR="00C9767C" w:rsidRDefault="008F6D06" w:rsidP="00E00D42">
      <w:pPr>
        <w:tabs>
          <w:tab w:val="left" w:pos="7455"/>
        </w:tabs>
        <w:spacing w:after="0" w:line="360" w:lineRule="auto"/>
        <w:ind w:left="426"/>
        <w:rPr>
          <w:rFonts w:ascii="Verdana" w:hAnsi="Verdana"/>
        </w:rPr>
      </w:pPr>
      <w:r w:rsidRPr="00E00D42">
        <w:rPr>
          <w:rFonts w:ascii="Verdana" w:hAnsi="Verdana"/>
          <w:b/>
        </w:rPr>
        <w:t>Local Hospital</w:t>
      </w:r>
      <w:r w:rsidRPr="00E00D42">
        <w:rPr>
          <w:rFonts w:ascii="Verdana" w:hAnsi="Verdana"/>
        </w:rPr>
        <w:t xml:space="preserve"> – The local hospital is by the address of the General Practitioner at which the patient is registered.</w:t>
      </w:r>
    </w:p>
    <w:p w:rsidR="00241FE1" w:rsidRPr="00E00D42" w:rsidRDefault="00241FE1" w:rsidP="00E00D42">
      <w:pPr>
        <w:tabs>
          <w:tab w:val="left" w:pos="7455"/>
        </w:tabs>
        <w:spacing w:after="0" w:line="360" w:lineRule="auto"/>
        <w:ind w:left="426"/>
        <w:rPr>
          <w:rFonts w:ascii="Verdana" w:hAnsi="Verdana"/>
        </w:rPr>
      </w:pPr>
      <w:r>
        <w:rPr>
          <w:rFonts w:ascii="Verdana" w:hAnsi="Verdana"/>
          <w:b/>
        </w:rPr>
        <w:t xml:space="preserve">Ward Level </w:t>
      </w:r>
      <w:r>
        <w:rPr>
          <w:rFonts w:ascii="Verdana" w:hAnsi="Verdana"/>
        </w:rPr>
        <w:t xml:space="preserve">– This relates to all inpatient care outside a recognised critical care facility </w:t>
      </w:r>
    </w:p>
    <w:p w:rsidR="007E093D" w:rsidRPr="00E00D42" w:rsidRDefault="008F6D06" w:rsidP="00E00D42">
      <w:pPr>
        <w:tabs>
          <w:tab w:val="left" w:pos="7455"/>
        </w:tabs>
        <w:spacing w:after="0" w:line="360" w:lineRule="auto"/>
        <w:ind w:left="426"/>
        <w:rPr>
          <w:rFonts w:ascii="Verdana" w:hAnsi="Verdana"/>
        </w:rPr>
      </w:pPr>
      <w:r w:rsidRPr="00E00D42">
        <w:rPr>
          <w:rFonts w:ascii="Verdana" w:hAnsi="Verdana"/>
          <w:b/>
        </w:rPr>
        <w:t xml:space="preserve">East of England </w:t>
      </w:r>
      <w:r w:rsidRPr="00E00D42">
        <w:rPr>
          <w:rFonts w:ascii="Verdana" w:hAnsi="Verdana"/>
        </w:rPr>
        <w:t>– This includes the counties of Norfolk, Suffolk, Cambridgeshire, Essex, Hertfordshire and Bedfordshire</w:t>
      </w:r>
    </w:p>
    <w:p w:rsidR="00ED24AA" w:rsidRPr="00E00D42" w:rsidRDefault="008F6D06" w:rsidP="00E00D42">
      <w:pPr>
        <w:tabs>
          <w:tab w:val="left" w:pos="7455"/>
        </w:tabs>
        <w:spacing w:after="0" w:line="360" w:lineRule="auto"/>
        <w:ind w:left="426"/>
        <w:rPr>
          <w:rFonts w:ascii="Verdana" w:hAnsi="Verdana"/>
          <w:b/>
        </w:rPr>
      </w:pPr>
      <w:r w:rsidRPr="00E00D42">
        <w:rPr>
          <w:rFonts w:ascii="Verdana" w:hAnsi="Verdana"/>
          <w:b/>
        </w:rPr>
        <w:t xml:space="preserve">CEO </w:t>
      </w:r>
      <w:r w:rsidRPr="00E00D42">
        <w:rPr>
          <w:rFonts w:ascii="Verdana" w:hAnsi="Verdana"/>
        </w:rPr>
        <w:t>– Chief Executive Officer</w:t>
      </w:r>
    </w:p>
    <w:p w:rsidR="007E093D" w:rsidRPr="00E00D42" w:rsidRDefault="008F6D06" w:rsidP="00E00D42">
      <w:pPr>
        <w:tabs>
          <w:tab w:val="left" w:pos="7455"/>
        </w:tabs>
        <w:spacing w:after="0" w:line="360" w:lineRule="auto"/>
        <w:ind w:left="426"/>
        <w:rPr>
          <w:rFonts w:ascii="Verdana" w:hAnsi="Verdana"/>
          <w:b/>
        </w:rPr>
      </w:pPr>
      <w:r w:rsidRPr="00E00D42">
        <w:rPr>
          <w:rFonts w:ascii="Verdana" w:hAnsi="Verdana"/>
          <w:b/>
        </w:rPr>
        <w:t xml:space="preserve">CCGs </w:t>
      </w:r>
      <w:r w:rsidRPr="00E00D42">
        <w:rPr>
          <w:rFonts w:ascii="Verdana" w:hAnsi="Verdana"/>
        </w:rPr>
        <w:t>– Clinical Commissioning Groups</w:t>
      </w:r>
    </w:p>
    <w:p w:rsidR="00EA1352" w:rsidRPr="00E00D42" w:rsidRDefault="008F6D06" w:rsidP="00E00D42">
      <w:pPr>
        <w:pStyle w:val="Heading1"/>
        <w:numPr>
          <w:ilvl w:val="0"/>
          <w:numId w:val="5"/>
        </w:numPr>
        <w:spacing w:after="240"/>
        <w:rPr>
          <w:bCs w:val="0"/>
        </w:rPr>
      </w:pPr>
      <w:bookmarkStart w:id="7" w:name="_Toc275003064"/>
      <w:r w:rsidRPr="00E00D42">
        <w:rPr>
          <w:bCs w:val="0"/>
        </w:rPr>
        <w:t>Operational Arrangements</w:t>
      </w:r>
      <w:bookmarkEnd w:id="7"/>
    </w:p>
    <w:p w:rsidR="00356AB6" w:rsidRPr="00E00D42" w:rsidRDefault="008F6D06" w:rsidP="00E00D42">
      <w:pPr>
        <w:pStyle w:val="ListParagraph"/>
        <w:numPr>
          <w:ilvl w:val="1"/>
          <w:numId w:val="15"/>
        </w:numPr>
        <w:tabs>
          <w:tab w:val="left" w:pos="7455"/>
        </w:tabs>
        <w:spacing w:before="120" w:after="240" w:line="360" w:lineRule="auto"/>
        <w:ind w:left="1134" w:hanging="573"/>
        <w:rPr>
          <w:rFonts w:ascii="Verdana" w:hAnsi="Verdana"/>
          <w:b/>
          <w:sz w:val="24"/>
        </w:rPr>
      </w:pPr>
      <w:r w:rsidRPr="00E00D42">
        <w:rPr>
          <w:rFonts w:ascii="Verdana" w:hAnsi="Verdana"/>
          <w:b/>
          <w:sz w:val="24"/>
        </w:rPr>
        <w:t xml:space="preserve">Decision Making - Not To Repatriate  </w:t>
      </w:r>
    </w:p>
    <w:p w:rsidR="00356AB6" w:rsidRPr="00E00D42" w:rsidRDefault="008F6D06" w:rsidP="00E00D42">
      <w:pPr>
        <w:pStyle w:val="ListParagraph"/>
        <w:numPr>
          <w:ilvl w:val="2"/>
          <w:numId w:val="17"/>
        </w:numPr>
        <w:tabs>
          <w:tab w:val="left" w:pos="7455"/>
        </w:tabs>
        <w:spacing w:before="120" w:after="240" w:line="360" w:lineRule="auto"/>
        <w:ind w:left="1560" w:hanging="851"/>
        <w:rPr>
          <w:rFonts w:ascii="Verdana" w:hAnsi="Verdana"/>
        </w:rPr>
      </w:pPr>
      <w:r w:rsidRPr="002F6F12">
        <w:rPr>
          <w:rFonts w:ascii="Verdana" w:hAnsi="Verdana"/>
        </w:rPr>
        <w:t>For patients whose predicted outcome is futile and likely death</w:t>
      </w:r>
      <w:r>
        <w:rPr>
          <w:rFonts w:ascii="Verdana" w:hAnsi="Verdana"/>
        </w:rPr>
        <w:t xml:space="preserve"> </w:t>
      </w:r>
      <w:r w:rsidRPr="00E00D42">
        <w:rPr>
          <w:rFonts w:ascii="Verdana" w:hAnsi="Verdana"/>
        </w:rPr>
        <w:t>imminent within 48 hours; referral back to local hospital should not usually be pursued. Occasionally it may be in the patient’s best interests, but such a decision can only be made by a  consultant in discussion with the patient (if appropriate) and their family/next of kin and the consultant of the accepting team in accepting hospital.</w:t>
      </w:r>
    </w:p>
    <w:p w:rsidR="00356AB6" w:rsidRPr="00E00D42" w:rsidRDefault="008F6D06" w:rsidP="00E00D42">
      <w:pPr>
        <w:pStyle w:val="ListParagraph"/>
        <w:numPr>
          <w:ilvl w:val="2"/>
          <w:numId w:val="17"/>
        </w:numPr>
        <w:tabs>
          <w:tab w:val="left" w:pos="7455"/>
        </w:tabs>
        <w:spacing w:before="120" w:after="240" w:line="360" w:lineRule="auto"/>
        <w:ind w:left="1560" w:hanging="851"/>
        <w:rPr>
          <w:rFonts w:ascii="Verdana" w:hAnsi="Verdana"/>
        </w:rPr>
      </w:pPr>
      <w:r w:rsidRPr="002F6F12">
        <w:rPr>
          <w:rFonts w:ascii="Verdana" w:hAnsi="Verdana"/>
        </w:rPr>
        <w:t xml:space="preserve">Patient and relatives must be consulted and kept informed of </w:t>
      </w:r>
      <w:r w:rsidRPr="00E00D42">
        <w:rPr>
          <w:rFonts w:ascii="Verdana" w:hAnsi="Verdana"/>
        </w:rPr>
        <w:t xml:space="preserve">these decisions. Decisions regarding futility must be consultant led and relatives and patients where possible must be kept informed of these decisions. All discussions </w:t>
      </w:r>
      <w:r w:rsidR="006C740F">
        <w:rPr>
          <w:rFonts w:ascii="Verdana" w:hAnsi="Verdana"/>
        </w:rPr>
        <w:t xml:space="preserve">with patients and relatives </w:t>
      </w:r>
      <w:r w:rsidRPr="00E00D42">
        <w:rPr>
          <w:rFonts w:ascii="Verdana" w:hAnsi="Verdana"/>
        </w:rPr>
        <w:t xml:space="preserve">and </w:t>
      </w:r>
      <w:r w:rsidR="006C740F">
        <w:rPr>
          <w:rFonts w:ascii="Verdana" w:hAnsi="Verdana"/>
        </w:rPr>
        <w:t xml:space="preserve">any </w:t>
      </w:r>
      <w:r w:rsidRPr="00E00D42">
        <w:rPr>
          <w:rFonts w:ascii="Verdana" w:hAnsi="Verdana"/>
        </w:rPr>
        <w:t>decisions</w:t>
      </w:r>
      <w:r w:rsidR="006C740F">
        <w:rPr>
          <w:rFonts w:ascii="Verdana" w:hAnsi="Verdana"/>
        </w:rPr>
        <w:t xml:space="preserve"> made</w:t>
      </w:r>
      <w:r w:rsidRPr="00E00D42">
        <w:rPr>
          <w:rFonts w:ascii="Verdana" w:hAnsi="Verdana"/>
        </w:rPr>
        <w:t xml:space="preserve"> must be recorded</w:t>
      </w:r>
      <w:r w:rsidR="006C740F">
        <w:rPr>
          <w:rFonts w:ascii="Verdana" w:hAnsi="Verdana"/>
        </w:rPr>
        <w:t xml:space="preserve"> in patient records</w:t>
      </w:r>
      <w:r w:rsidRPr="00E00D42">
        <w:rPr>
          <w:rFonts w:ascii="Verdana" w:hAnsi="Verdana"/>
        </w:rPr>
        <w:t>.</w:t>
      </w:r>
      <w:r w:rsidR="006C740F">
        <w:rPr>
          <w:rFonts w:ascii="Verdana" w:hAnsi="Verdana"/>
        </w:rPr>
        <w:t xml:space="preserve"> </w:t>
      </w:r>
      <w:r w:rsidR="000B5A84">
        <w:rPr>
          <w:rFonts w:ascii="Verdana" w:hAnsi="Verdana"/>
        </w:rPr>
        <w:t xml:space="preserve">If </w:t>
      </w:r>
      <w:r w:rsidR="000B5A84">
        <w:rPr>
          <w:rFonts w:ascii="Verdana" w:hAnsi="Verdana"/>
        </w:rPr>
        <w:lastRenderedPageBreak/>
        <w:t xml:space="preserve">repatriation is delayed by 24hours then all discussions with patient and relatives regarding treatment and prognosis must be repeated and again recorded. </w:t>
      </w:r>
    </w:p>
    <w:p w:rsidR="00182D8A" w:rsidRPr="00E00D42" w:rsidRDefault="008F6D06" w:rsidP="00E00D42">
      <w:pPr>
        <w:pStyle w:val="ListParagraph"/>
        <w:numPr>
          <w:ilvl w:val="2"/>
          <w:numId w:val="17"/>
        </w:numPr>
        <w:tabs>
          <w:tab w:val="left" w:pos="7455"/>
        </w:tabs>
        <w:spacing w:before="120" w:after="240" w:line="360" w:lineRule="auto"/>
        <w:ind w:left="1560" w:hanging="851"/>
        <w:rPr>
          <w:rFonts w:ascii="Verdana" w:hAnsi="Verdana"/>
        </w:rPr>
      </w:pPr>
      <w:r w:rsidRPr="002F6F12">
        <w:rPr>
          <w:rFonts w:ascii="Verdana" w:hAnsi="Verdana"/>
        </w:rPr>
        <w:t>On occasion and provided appropriate support is in place, it may</w:t>
      </w:r>
      <w:r>
        <w:rPr>
          <w:rFonts w:ascii="Verdana" w:hAnsi="Verdana"/>
        </w:rPr>
        <w:t xml:space="preserve"> </w:t>
      </w:r>
      <w:r w:rsidRPr="00E00D42">
        <w:rPr>
          <w:rFonts w:ascii="Verdana" w:hAnsi="Verdana"/>
        </w:rPr>
        <w:t xml:space="preserve">be appropriate to transfer a patient directly home. </w:t>
      </w:r>
    </w:p>
    <w:p w:rsidR="00A655B1" w:rsidRDefault="008F6D06" w:rsidP="00E00D42">
      <w:pPr>
        <w:pStyle w:val="ListParagraph"/>
        <w:numPr>
          <w:ilvl w:val="2"/>
          <w:numId w:val="17"/>
        </w:numPr>
        <w:tabs>
          <w:tab w:val="left" w:pos="7455"/>
        </w:tabs>
        <w:spacing w:before="120" w:after="240" w:line="360" w:lineRule="auto"/>
        <w:ind w:left="1560" w:hanging="851"/>
        <w:rPr>
          <w:rFonts w:ascii="Verdana" w:hAnsi="Verdana"/>
        </w:rPr>
      </w:pPr>
      <w:r w:rsidRPr="00A655B1">
        <w:rPr>
          <w:rFonts w:ascii="Verdana" w:hAnsi="Verdana"/>
        </w:rPr>
        <w:t>F</w:t>
      </w:r>
      <w:r>
        <w:rPr>
          <w:rFonts w:ascii="Verdana" w:hAnsi="Verdana"/>
        </w:rPr>
        <w:t xml:space="preserve">or patients whose prognosis is poor there </w:t>
      </w:r>
      <w:r w:rsidRPr="00E00D42">
        <w:rPr>
          <w:rFonts w:ascii="Verdana" w:hAnsi="Verdana"/>
        </w:rPr>
        <w:t>must</w:t>
      </w:r>
      <w:r>
        <w:rPr>
          <w:rFonts w:ascii="Verdana" w:hAnsi="Verdana"/>
        </w:rPr>
        <w:t xml:space="preserve"> be clear </w:t>
      </w:r>
      <w:r w:rsidRPr="00E00D42">
        <w:rPr>
          <w:rFonts w:ascii="Verdana" w:hAnsi="Verdana"/>
        </w:rPr>
        <w:t xml:space="preserve">discussion between the </w:t>
      </w:r>
      <w:r w:rsidR="000B5A84">
        <w:rPr>
          <w:rFonts w:ascii="Verdana" w:hAnsi="Verdana"/>
        </w:rPr>
        <w:t xml:space="preserve">transferring unit and the receiving unit. All discussions with patient and relatives at the specialist centre must be recorded prior to transfer.  </w:t>
      </w:r>
    </w:p>
    <w:p w:rsidR="003B1CBB" w:rsidRPr="00E00D42" w:rsidRDefault="003B1CBB" w:rsidP="003B1CBB">
      <w:pPr>
        <w:pStyle w:val="ListParagraph"/>
        <w:tabs>
          <w:tab w:val="left" w:pos="7455"/>
        </w:tabs>
        <w:spacing w:before="120" w:after="240" w:line="360" w:lineRule="auto"/>
        <w:ind w:left="1560"/>
        <w:rPr>
          <w:rFonts w:ascii="Verdana" w:hAnsi="Verdana"/>
        </w:rPr>
      </w:pPr>
    </w:p>
    <w:p w:rsidR="00182D8A" w:rsidRPr="00E00D42" w:rsidRDefault="008F6D06" w:rsidP="00E00D42">
      <w:pPr>
        <w:pStyle w:val="ListParagraph"/>
        <w:numPr>
          <w:ilvl w:val="1"/>
          <w:numId w:val="15"/>
        </w:numPr>
        <w:tabs>
          <w:tab w:val="left" w:pos="7455"/>
        </w:tabs>
        <w:spacing w:before="120" w:after="240" w:line="360" w:lineRule="auto"/>
        <w:ind w:left="1134" w:hanging="573"/>
        <w:rPr>
          <w:rFonts w:ascii="Verdana" w:hAnsi="Verdana"/>
          <w:b/>
          <w:sz w:val="24"/>
        </w:rPr>
      </w:pPr>
      <w:r w:rsidRPr="00E00D42">
        <w:rPr>
          <w:rFonts w:ascii="Verdana" w:hAnsi="Verdana"/>
          <w:b/>
          <w:sz w:val="24"/>
        </w:rPr>
        <w:t xml:space="preserve">Decision Making – Repatriation of Patients to local hospital critical care services </w:t>
      </w:r>
    </w:p>
    <w:p w:rsidR="00DB008D" w:rsidRPr="008B66A3" w:rsidRDefault="00EA6ABD"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Referring hospital r</w:t>
      </w:r>
      <w:r w:rsidR="008F6D06" w:rsidRPr="00182D8A">
        <w:rPr>
          <w:rFonts w:ascii="Verdana" w:hAnsi="Verdana"/>
        </w:rPr>
        <w:t>elevant consultant must authorise the</w:t>
      </w:r>
      <w:r w:rsidR="008F6D06">
        <w:rPr>
          <w:rFonts w:ascii="Verdana" w:hAnsi="Verdana"/>
        </w:rPr>
        <w:t xml:space="preserve"> </w:t>
      </w:r>
      <w:r w:rsidR="008F6D06" w:rsidRPr="008B66A3">
        <w:rPr>
          <w:rFonts w:ascii="Verdana" w:hAnsi="Verdana"/>
        </w:rPr>
        <w:t>Patient’s repatriation.</w:t>
      </w:r>
    </w:p>
    <w:p w:rsidR="002557B8"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 xml:space="preserve">Referring hospital critical care consultant contacts local hospital </w:t>
      </w:r>
      <w:r w:rsidRPr="008B66A3">
        <w:rPr>
          <w:rFonts w:ascii="Verdana" w:hAnsi="Verdana"/>
        </w:rPr>
        <w:t xml:space="preserve">critical care consultant to accept patient. </w:t>
      </w:r>
    </w:p>
    <w:p w:rsidR="00436DBB"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8B66A3">
        <w:rPr>
          <w:rFonts w:ascii="Verdana" w:hAnsi="Verdana"/>
        </w:rPr>
        <w:t>When a base special</w:t>
      </w:r>
      <w:r w:rsidR="000E36A9">
        <w:rPr>
          <w:rFonts w:ascii="Verdana" w:hAnsi="Verdana"/>
        </w:rPr>
        <w:t>i</w:t>
      </w:r>
      <w:r w:rsidRPr="008B66A3">
        <w:rPr>
          <w:rFonts w:ascii="Verdana" w:hAnsi="Verdana"/>
        </w:rPr>
        <w:t>ty consultant (non</w:t>
      </w:r>
      <w:r w:rsidR="00F25633">
        <w:rPr>
          <w:rFonts w:ascii="Verdana" w:hAnsi="Verdana"/>
        </w:rPr>
        <w:t>-</w:t>
      </w:r>
      <w:r w:rsidRPr="008B66A3">
        <w:rPr>
          <w:rFonts w:ascii="Verdana" w:hAnsi="Verdana"/>
        </w:rPr>
        <w:t>critica</w:t>
      </w:r>
      <w:r w:rsidR="00FB3A71">
        <w:rPr>
          <w:rFonts w:ascii="Verdana" w:hAnsi="Verdana"/>
        </w:rPr>
        <w:t xml:space="preserve">l care) is required in addition </w:t>
      </w:r>
      <w:r w:rsidRPr="008B66A3">
        <w:rPr>
          <w:rFonts w:ascii="Verdana" w:hAnsi="Verdana"/>
        </w:rPr>
        <w:t>in the receiving hospital</w:t>
      </w:r>
      <w:r w:rsidR="00FB3A71">
        <w:rPr>
          <w:rFonts w:ascii="Verdana" w:hAnsi="Verdana"/>
        </w:rPr>
        <w:t>,</w:t>
      </w:r>
      <w:r w:rsidRPr="008B66A3">
        <w:rPr>
          <w:rFonts w:ascii="Verdana" w:hAnsi="Verdana"/>
        </w:rPr>
        <w:t xml:space="preserve"> then the referring hospital is responsible for making this referral. However the receiving critical care unit team will recommend the appropriate base speciality consultant/team and how to contact them. </w:t>
      </w:r>
      <w:r>
        <w:rPr>
          <w:rFonts w:ascii="Verdana" w:hAnsi="Verdana"/>
        </w:rPr>
        <w:br/>
      </w:r>
      <w:r w:rsidRPr="008B66A3">
        <w:rPr>
          <w:rFonts w:ascii="Verdana" w:hAnsi="Verdana"/>
        </w:rPr>
        <w:t xml:space="preserve">It is the responsibility of the local hospital to have </w:t>
      </w:r>
      <w:r w:rsidR="00FB3A71">
        <w:rPr>
          <w:rFonts w:ascii="Verdana" w:hAnsi="Verdana"/>
        </w:rPr>
        <w:t xml:space="preserve">a </w:t>
      </w:r>
      <w:r w:rsidRPr="008B66A3">
        <w:rPr>
          <w:rFonts w:ascii="Verdana" w:hAnsi="Verdana"/>
        </w:rPr>
        <w:t xml:space="preserve">system in place which allows a base specialist to be identified 7 days a week. </w:t>
      </w:r>
    </w:p>
    <w:p w:rsidR="003B4653"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 xml:space="preserve">As part of the process for having a patient accepted to a local </w:t>
      </w:r>
      <w:r w:rsidRPr="008B66A3">
        <w:rPr>
          <w:rFonts w:ascii="Verdana" w:hAnsi="Verdana"/>
        </w:rPr>
        <w:t xml:space="preserve">hospital the referring team should only need to contact one base speciality in addition to the critical care team. This should not delay </w:t>
      </w:r>
      <w:r w:rsidR="00F25633" w:rsidRPr="008B66A3">
        <w:rPr>
          <w:rFonts w:ascii="Verdana" w:hAnsi="Verdana"/>
        </w:rPr>
        <w:t>repatriation</w:t>
      </w:r>
      <w:r w:rsidRPr="008B66A3">
        <w:rPr>
          <w:rFonts w:ascii="Verdana" w:hAnsi="Verdana"/>
        </w:rPr>
        <w:t xml:space="preserve">. </w:t>
      </w:r>
    </w:p>
    <w:p w:rsidR="004577F7"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 xml:space="preserve">Document in clinical notes that patient ready for repatriation, date </w:t>
      </w:r>
      <w:r w:rsidRPr="008B66A3">
        <w:rPr>
          <w:rFonts w:ascii="Verdana" w:hAnsi="Verdana"/>
        </w:rPr>
        <w:t>and time of</w:t>
      </w:r>
      <w:r>
        <w:rPr>
          <w:rFonts w:ascii="Verdana" w:hAnsi="Verdana"/>
        </w:rPr>
        <w:t xml:space="preserve"> acceptance and the name of the</w:t>
      </w:r>
      <w:r w:rsidRPr="008B66A3">
        <w:rPr>
          <w:rFonts w:ascii="Verdana" w:hAnsi="Verdana"/>
        </w:rPr>
        <w:t xml:space="preserve"> critical care consultant accepting the patient as well as any other teams in the local hospital who have been involved in discussions about the patient.</w:t>
      </w:r>
      <w:r w:rsidR="00234AAC">
        <w:rPr>
          <w:rFonts w:ascii="Verdana" w:hAnsi="Verdana"/>
        </w:rPr>
        <w:t xml:space="preserve"> Document discussions held with patient and relatives regarding treatment and prognosis.</w:t>
      </w:r>
    </w:p>
    <w:p w:rsidR="009221D1"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4577F7">
        <w:rPr>
          <w:rFonts w:ascii="Verdana" w:hAnsi="Verdana"/>
        </w:rPr>
        <w:t xml:space="preserve">Once the patient has been </w:t>
      </w:r>
      <w:r>
        <w:rPr>
          <w:rFonts w:ascii="Verdana" w:hAnsi="Verdana"/>
        </w:rPr>
        <w:t xml:space="preserve">accepted by the </w:t>
      </w:r>
      <w:r w:rsidRPr="004577F7">
        <w:rPr>
          <w:rFonts w:ascii="Verdana" w:hAnsi="Verdana"/>
        </w:rPr>
        <w:t>local critical care unit, it is acceptable for on</w:t>
      </w:r>
      <w:r w:rsidR="000E36A9">
        <w:rPr>
          <w:rFonts w:ascii="Verdana" w:hAnsi="Verdana"/>
        </w:rPr>
        <w:t>-</w:t>
      </w:r>
      <w:r w:rsidRPr="004577F7">
        <w:rPr>
          <w:rFonts w:ascii="Verdana" w:hAnsi="Verdana"/>
        </w:rPr>
        <w:t xml:space="preserve">going discussion </w:t>
      </w:r>
      <w:r w:rsidRPr="008B66A3">
        <w:rPr>
          <w:rFonts w:ascii="Verdana" w:hAnsi="Verdana"/>
        </w:rPr>
        <w:t>relating to the timing of the transfer to be undertaken by the senior nurse from the referring critical care unit.</w:t>
      </w:r>
    </w:p>
    <w:p w:rsidR="00356AB6"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561091">
        <w:rPr>
          <w:rFonts w:ascii="Verdana" w:hAnsi="Verdana"/>
        </w:rPr>
        <w:t>Determining the named consultant /team with responsibility in a</w:t>
      </w:r>
      <w:r>
        <w:rPr>
          <w:rFonts w:ascii="Verdana" w:hAnsi="Verdana"/>
        </w:rPr>
        <w:t xml:space="preserve"> </w:t>
      </w:r>
      <w:r w:rsidRPr="008B66A3">
        <w:rPr>
          <w:rFonts w:ascii="Verdana" w:hAnsi="Verdana"/>
        </w:rPr>
        <w:t xml:space="preserve">local hospital for a repatriated patient must not hinder or  delay the repatriation process. </w:t>
      </w:r>
    </w:p>
    <w:p w:rsidR="00935A31"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 xml:space="preserve">Once a patient is deemed fit for repatriation and safe for transfer </w:t>
      </w:r>
      <w:r w:rsidRPr="008B66A3">
        <w:rPr>
          <w:rFonts w:ascii="Verdana" w:hAnsi="Verdana"/>
        </w:rPr>
        <w:t>and a critical care to critical care consultant referral has been made the patient should be repatriated at the earliest opportunity and not necessary as long as 48 hours following referral.</w:t>
      </w:r>
    </w:p>
    <w:p w:rsidR="00935A31"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C526ED">
        <w:rPr>
          <w:rFonts w:ascii="Verdana" w:hAnsi="Verdana"/>
        </w:rPr>
        <w:lastRenderedPageBreak/>
        <w:t xml:space="preserve">If a patient becomes unfit to transfer whilst waiting for a </w:t>
      </w:r>
      <w:r>
        <w:rPr>
          <w:rFonts w:ascii="Verdana" w:hAnsi="Verdana"/>
        </w:rPr>
        <w:t>critical</w:t>
      </w:r>
      <w:r w:rsidRPr="00C526ED">
        <w:rPr>
          <w:rFonts w:ascii="Verdana" w:hAnsi="Verdana"/>
        </w:rPr>
        <w:t xml:space="preserve"> </w:t>
      </w:r>
      <w:r w:rsidRPr="008B66A3">
        <w:rPr>
          <w:rFonts w:ascii="Verdana" w:hAnsi="Verdana"/>
        </w:rPr>
        <w:t>care bed in another hospital, the 48 hour deadline for repatriation no longer applies. When the patient resumes fitness, the referring hospital must cont</w:t>
      </w:r>
      <w:r w:rsidR="004C58F3">
        <w:rPr>
          <w:rFonts w:ascii="Verdana" w:hAnsi="Verdana"/>
        </w:rPr>
        <w:t>act</w:t>
      </w:r>
      <w:r w:rsidRPr="008B66A3">
        <w:rPr>
          <w:rFonts w:ascii="Verdana" w:hAnsi="Verdana"/>
        </w:rPr>
        <w:t xml:space="preserve"> the critical care team and any other relevant te</w:t>
      </w:r>
      <w:r w:rsidR="004C58F3">
        <w:rPr>
          <w:rFonts w:ascii="Verdana" w:hAnsi="Verdana"/>
        </w:rPr>
        <w:t>ams and the clock will restart at zero.</w:t>
      </w:r>
    </w:p>
    <w:p w:rsidR="00356AB6" w:rsidRPr="008B66A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8B66A3">
        <w:rPr>
          <w:rFonts w:ascii="Verdana" w:hAnsi="Verdana"/>
        </w:rPr>
        <w:t xml:space="preserve">The referring hospital must </w:t>
      </w:r>
      <w:r>
        <w:rPr>
          <w:rFonts w:ascii="Verdana" w:hAnsi="Verdana"/>
        </w:rPr>
        <w:t>c</w:t>
      </w:r>
      <w:r w:rsidRPr="00DB008D">
        <w:rPr>
          <w:rFonts w:ascii="Verdana" w:hAnsi="Verdana"/>
        </w:rPr>
        <w:t xml:space="preserve">omplete relevant discharge summary / letter, clinical and social </w:t>
      </w:r>
      <w:r w:rsidRPr="008B66A3">
        <w:rPr>
          <w:rFonts w:ascii="Verdana" w:hAnsi="Verdana"/>
        </w:rPr>
        <w:t>information. This must accompany all patients to the accepting hospital. Relevant data should also be transferred electronically as appropriate including radiological investigations.</w:t>
      </w:r>
      <w:r w:rsidR="004C58F3">
        <w:rPr>
          <w:rFonts w:ascii="Verdana" w:hAnsi="Verdana"/>
        </w:rPr>
        <w:t xml:space="preserve">  The home local ho</w:t>
      </w:r>
      <w:r w:rsidR="0024244A">
        <w:rPr>
          <w:rFonts w:ascii="Verdana" w:hAnsi="Verdana"/>
        </w:rPr>
        <w:t>spital is defined by the address of the General Practitioner at which the patient is registered.</w:t>
      </w:r>
    </w:p>
    <w:p w:rsidR="00E714ED" w:rsidRPr="00DC5B9A"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The referring hospital must include a handover of the rehabilitation plan addressing NICE CG83 criteria</w:t>
      </w:r>
    </w:p>
    <w:p w:rsidR="00825D63"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825D63">
        <w:rPr>
          <w:rFonts w:ascii="Verdana" w:hAnsi="Verdana"/>
        </w:rPr>
        <w:t>Transfer transportation will</w:t>
      </w:r>
      <w:r>
        <w:rPr>
          <w:rFonts w:ascii="Verdana" w:hAnsi="Verdana"/>
        </w:rPr>
        <w:t xml:space="preserve"> be organised by the transferring </w:t>
      </w:r>
      <w:r w:rsidRPr="008B66A3">
        <w:rPr>
          <w:rFonts w:ascii="Verdana" w:hAnsi="Verdana"/>
        </w:rPr>
        <w:t>hospital providing necessary escort arrangements, together with all necessary documentation.</w:t>
      </w:r>
    </w:p>
    <w:p w:rsidR="00062F6F" w:rsidRPr="008B66A3" w:rsidRDefault="00062F6F" w:rsidP="008B66A3">
      <w:pPr>
        <w:pStyle w:val="ListParagraph"/>
        <w:numPr>
          <w:ilvl w:val="2"/>
          <w:numId w:val="19"/>
        </w:numPr>
        <w:tabs>
          <w:tab w:val="left" w:pos="7455"/>
        </w:tabs>
        <w:spacing w:before="120" w:after="240" w:line="360" w:lineRule="auto"/>
        <w:ind w:left="1560" w:hanging="851"/>
        <w:rPr>
          <w:rFonts w:ascii="Verdana" w:hAnsi="Verdana"/>
        </w:rPr>
      </w:pPr>
      <w:r>
        <w:rPr>
          <w:rFonts w:ascii="Verdana" w:hAnsi="Verdana"/>
        </w:rPr>
        <w:t xml:space="preserve">In accordance with </w:t>
      </w:r>
      <w:r w:rsidR="00F65E83">
        <w:rPr>
          <w:rFonts w:ascii="Verdana" w:hAnsi="Verdana"/>
        </w:rPr>
        <w:t xml:space="preserve">National Standards (D16 Service Specification for Adult Critical Care Services) transfer of patients should be avoided ‘out of hours’ (2200hrs – 0659hrs </w:t>
      </w:r>
    </w:p>
    <w:p w:rsidR="00576076" w:rsidRDefault="008F6D06" w:rsidP="008B66A3">
      <w:pPr>
        <w:pStyle w:val="ListParagraph"/>
        <w:numPr>
          <w:ilvl w:val="2"/>
          <w:numId w:val="19"/>
        </w:numPr>
        <w:tabs>
          <w:tab w:val="left" w:pos="7455"/>
        </w:tabs>
        <w:spacing w:before="120" w:after="240" w:line="360" w:lineRule="auto"/>
        <w:ind w:left="1560" w:hanging="851"/>
        <w:rPr>
          <w:rFonts w:ascii="Verdana" w:hAnsi="Verdana"/>
        </w:rPr>
      </w:pPr>
      <w:r w:rsidRPr="009D7494">
        <w:rPr>
          <w:rFonts w:ascii="Verdana" w:hAnsi="Verdana"/>
        </w:rPr>
        <w:t xml:space="preserve">The clinical responsibility for the patient lies with the referring </w:t>
      </w:r>
      <w:r w:rsidRPr="008B66A3">
        <w:rPr>
          <w:rFonts w:ascii="Verdana" w:hAnsi="Verdana"/>
        </w:rPr>
        <w:t xml:space="preserve">hospital until the patient arrives in the local hospital and is handed over to the team. </w:t>
      </w:r>
    </w:p>
    <w:p w:rsidR="003B1CBB" w:rsidRPr="008B66A3" w:rsidRDefault="003B1CBB" w:rsidP="003B1CBB">
      <w:pPr>
        <w:pStyle w:val="ListParagraph"/>
        <w:tabs>
          <w:tab w:val="left" w:pos="7455"/>
        </w:tabs>
        <w:spacing w:before="120" w:after="240" w:line="360" w:lineRule="auto"/>
        <w:ind w:left="1560"/>
        <w:rPr>
          <w:rFonts w:ascii="Verdana" w:hAnsi="Verdana"/>
        </w:rPr>
      </w:pPr>
    </w:p>
    <w:p w:rsidR="00ED291D" w:rsidRPr="008B66A3" w:rsidRDefault="008F6D06" w:rsidP="008B66A3">
      <w:pPr>
        <w:pStyle w:val="ListParagraph"/>
        <w:numPr>
          <w:ilvl w:val="1"/>
          <w:numId w:val="15"/>
        </w:numPr>
        <w:tabs>
          <w:tab w:val="left" w:pos="7455"/>
        </w:tabs>
        <w:spacing w:before="120" w:after="240" w:line="360" w:lineRule="auto"/>
        <w:ind w:left="1134" w:hanging="573"/>
        <w:rPr>
          <w:rFonts w:ascii="Verdana" w:hAnsi="Verdana"/>
          <w:b/>
          <w:sz w:val="24"/>
        </w:rPr>
      </w:pPr>
      <w:r w:rsidRPr="008B66A3">
        <w:rPr>
          <w:rFonts w:ascii="Verdana" w:hAnsi="Verdana"/>
          <w:b/>
          <w:sz w:val="24"/>
        </w:rPr>
        <w:t xml:space="preserve"> Decision Making – Repatriation of Patients to ward level. </w:t>
      </w:r>
    </w:p>
    <w:p w:rsidR="00B7109D" w:rsidRPr="008B66A3" w:rsidRDefault="00062F6F"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Referring hospital r</w:t>
      </w:r>
      <w:r w:rsidR="008F6D06" w:rsidRPr="00182D8A">
        <w:rPr>
          <w:rFonts w:ascii="Verdana" w:hAnsi="Verdana"/>
        </w:rPr>
        <w:t>elevant consultant must authorise the</w:t>
      </w:r>
      <w:r w:rsidR="008F6D06">
        <w:rPr>
          <w:rFonts w:ascii="Verdana" w:hAnsi="Verdana"/>
        </w:rPr>
        <w:t xml:space="preserve"> </w:t>
      </w:r>
      <w:r w:rsidR="008F6D06" w:rsidRPr="008B66A3">
        <w:rPr>
          <w:rFonts w:ascii="Verdana" w:hAnsi="Verdana"/>
        </w:rPr>
        <w:t>Patient’s repatriation.</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 xml:space="preserve">Referring hospital critical care consultant contacts local hospital </w:t>
      </w:r>
      <w:r w:rsidRPr="008B66A3">
        <w:rPr>
          <w:rFonts w:ascii="Verdana" w:hAnsi="Verdana"/>
        </w:rPr>
        <w:t xml:space="preserve">on-call consultant of that day for the relevant speciality.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 xml:space="preserve">Document in clinical notes that patient ready for repatriation, date </w:t>
      </w:r>
      <w:r w:rsidRPr="008B66A3">
        <w:rPr>
          <w:rFonts w:ascii="Verdana" w:hAnsi="Verdana"/>
        </w:rPr>
        <w:t xml:space="preserve">and time of acceptance and the name of the accepting speciality consultant accepting the patient.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sidRPr="004577F7">
        <w:rPr>
          <w:rFonts w:ascii="Verdana" w:hAnsi="Verdana"/>
        </w:rPr>
        <w:t xml:space="preserve">Once the patient has been referred to the </w:t>
      </w:r>
      <w:r>
        <w:rPr>
          <w:rFonts w:ascii="Verdana" w:hAnsi="Verdana"/>
        </w:rPr>
        <w:t xml:space="preserve">relevant team in the </w:t>
      </w:r>
      <w:r w:rsidRPr="008B66A3">
        <w:rPr>
          <w:rFonts w:ascii="Verdana" w:hAnsi="Verdana"/>
        </w:rPr>
        <w:t>local hospital, it is acceptable for on</w:t>
      </w:r>
      <w:r w:rsidR="00062F6F">
        <w:rPr>
          <w:rFonts w:ascii="Verdana" w:hAnsi="Verdana"/>
        </w:rPr>
        <w:t>-</w:t>
      </w:r>
      <w:r w:rsidRPr="008B66A3">
        <w:rPr>
          <w:rFonts w:ascii="Verdana" w:hAnsi="Verdana"/>
        </w:rPr>
        <w:t>going discussion relating</w:t>
      </w:r>
      <w:r>
        <w:rPr>
          <w:rFonts w:ascii="Verdana" w:hAnsi="Verdana"/>
        </w:rPr>
        <w:t xml:space="preserve"> </w:t>
      </w:r>
      <w:r w:rsidRPr="008B66A3">
        <w:rPr>
          <w:rFonts w:ascii="Verdana" w:hAnsi="Verdana"/>
        </w:rPr>
        <w:t>to the timing of the t</w:t>
      </w:r>
      <w:r>
        <w:rPr>
          <w:rFonts w:ascii="Verdana" w:hAnsi="Verdana"/>
        </w:rPr>
        <w:t xml:space="preserve">ransfer to be undertaken by the </w:t>
      </w:r>
      <w:r w:rsidRPr="008B66A3">
        <w:rPr>
          <w:rFonts w:ascii="Verdana" w:hAnsi="Verdana"/>
        </w:rPr>
        <w:t>senior nurse from the referring critical care unit</w:t>
      </w:r>
      <w:r w:rsidR="0024244A">
        <w:rPr>
          <w:rFonts w:ascii="Verdana" w:hAnsi="Verdana"/>
        </w:rPr>
        <w:t xml:space="preserve"> or the site/bed managers.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sidRPr="00561091">
        <w:rPr>
          <w:rFonts w:ascii="Verdana" w:hAnsi="Verdana"/>
        </w:rPr>
        <w:t>Determining the named consultant /team with responsibility in a</w:t>
      </w:r>
      <w:r>
        <w:rPr>
          <w:rFonts w:ascii="Verdana" w:hAnsi="Verdana"/>
        </w:rPr>
        <w:t xml:space="preserve"> </w:t>
      </w:r>
      <w:r w:rsidRPr="008B66A3">
        <w:rPr>
          <w:rFonts w:ascii="Verdana" w:hAnsi="Verdana"/>
        </w:rPr>
        <w:t xml:space="preserve">local hospital for a repatriated patient must not hinder or delay the repatriation process.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 xml:space="preserve">As part of the process for having a patient accepted to a local </w:t>
      </w:r>
      <w:r w:rsidRPr="008B66A3">
        <w:rPr>
          <w:rFonts w:ascii="Verdana" w:hAnsi="Verdana"/>
        </w:rPr>
        <w:t xml:space="preserve">hospital the referring team should only need to contact one accepting team.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 xml:space="preserve">Once a patient is deemed fit for repatriation and safe for transfer </w:t>
      </w:r>
      <w:r w:rsidRPr="008B66A3">
        <w:rPr>
          <w:rFonts w:ascii="Verdana" w:hAnsi="Verdana"/>
        </w:rPr>
        <w:t xml:space="preserve">and a critical care to duty consultant referral has been made in the local hospital; the patient should </w:t>
      </w:r>
      <w:r w:rsidRPr="008B66A3">
        <w:rPr>
          <w:rFonts w:ascii="Verdana" w:hAnsi="Verdana"/>
        </w:rPr>
        <w:lastRenderedPageBreak/>
        <w:t>be repatriated at the earliest</w:t>
      </w:r>
      <w:r>
        <w:rPr>
          <w:rFonts w:ascii="Verdana" w:hAnsi="Verdana"/>
        </w:rPr>
        <w:t xml:space="preserve"> </w:t>
      </w:r>
      <w:r w:rsidRPr="008B66A3">
        <w:rPr>
          <w:rFonts w:ascii="Verdana" w:hAnsi="Verdana"/>
        </w:rPr>
        <w:t>opportunity and not necessary as long as 48 hours following referral.</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sidRPr="00C526ED">
        <w:rPr>
          <w:rFonts w:ascii="Verdana" w:hAnsi="Verdana"/>
        </w:rPr>
        <w:t>If a patient becomes unf</w:t>
      </w:r>
      <w:r>
        <w:rPr>
          <w:rFonts w:ascii="Verdana" w:hAnsi="Verdana"/>
        </w:rPr>
        <w:t>i</w:t>
      </w:r>
      <w:r w:rsidRPr="00C526ED">
        <w:rPr>
          <w:rFonts w:ascii="Verdana" w:hAnsi="Verdana"/>
        </w:rPr>
        <w:t xml:space="preserve">t to transfer whilst waiting for a </w:t>
      </w:r>
      <w:r>
        <w:rPr>
          <w:rFonts w:ascii="Verdana" w:hAnsi="Verdana"/>
        </w:rPr>
        <w:t xml:space="preserve">ward </w:t>
      </w:r>
      <w:r w:rsidRPr="008B66A3">
        <w:rPr>
          <w:rFonts w:ascii="Verdana" w:hAnsi="Verdana"/>
        </w:rPr>
        <w:t>bed in another hospital, the 48 hour deadline for repatriation no</w:t>
      </w:r>
      <w:r>
        <w:rPr>
          <w:rFonts w:ascii="Verdana" w:hAnsi="Verdana"/>
        </w:rPr>
        <w:t xml:space="preserve"> </w:t>
      </w:r>
      <w:r w:rsidRPr="008B66A3">
        <w:rPr>
          <w:rFonts w:ascii="Verdana" w:hAnsi="Verdana"/>
        </w:rPr>
        <w:t>longer applies. When the patient resumes fitness, the referring hospital must contacted the on-call consultant of that day for the relevant speciality and the clock will restart</w:t>
      </w:r>
      <w:r w:rsidR="0024244A">
        <w:rPr>
          <w:rFonts w:ascii="Verdana" w:hAnsi="Verdana"/>
        </w:rPr>
        <w:t xml:space="preserve"> at zero</w:t>
      </w:r>
      <w:r w:rsidRPr="008B66A3">
        <w:rPr>
          <w:rFonts w:ascii="Verdana" w:hAnsi="Verdana"/>
        </w:rPr>
        <w:t xml:space="preserve">. </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The referring hospital must c</w:t>
      </w:r>
      <w:r w:rsidRPr="005B1116">
        <w:rPr>
          <w:rFonts w:ascii="Verdana" w:hAnsi="Verdana"/>
        </w:rPr>
        <w:t xml:space="preserve">omplete relevant discharge summary / letter, clinical and social </w:t>
      </w:r>
      <w:r w:rsidRPr="008B66A3">
        <w:rPr>
          <w:rFonts w:ascii="Verdana" w:hAnsi="Verdana"/>
        </w:rPr>
        <w:t>information. This must accompany all patients to the accepting hospital. Relevant data should also be transferred electronically as appropriate including radiological investigations.</w:t>
      </w:r>
    </w:p>
    <w:p w:rsidR="00E62010" w:rsidRPr="00DC5B9A"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The referring hospital must include a handover of the rehabilitation plan addressing NICE CG83 criteria</w:t>
      </w:r>
      <w:r w:rsidR="00F65E83">
        <w:rPr>
          <w:rFonts w:ascii="Verdana" w:hAnsi="Verdana"/>
        </w:rPr>
        <w:t>.</w:t>
      </w:r>
    </w:p>
    <w:p w:rsidR="00B7109D"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sidRPr="005B1116">
        <w:rPr>
          <w:rFonts w:ascii="Verdana" w:hAnsi="Verdana"/>
        </w:rPr>
        <w:t xml:space="preserve">Transfer transportation will be organised by the transferring </w:t>
      </w:r>
      <w:r w:rsidRPr="008B66A3">
        <w:rPr>
          <w:rFonts w:ascii="Verdana" w:hAnsi="Verdana"/>
        </w:rPr>
        <w:t>hospital providing necessary escort arrangements, together with all necessary documentation</w:t>
      </w:r>
      <w:r w:rsidR="00F65E83">
        <w:rPr>
          <w:rFonts w:ascii="Verdana" w:hAnsi="Verdana"/>
        </w:rPr>
        <w:t>.</w:t>
      </w:r>
    </w:p>
    <w:p w:rsidR="00F65E83" w:rsidRPr="008B66A3" w:rsidRDefault="00F65E83" w:rsidP="008B66A3">
      <w:pPr>
        <w:pStyle w:val="ListParagraph"/>
        <w:numPr>
          <w:ilvl w:val="2"/>
          <w:numId w:val="21"/>
        </w:numPr>
        <w:tabs>
          <w:tab w:val="left" w:pos="7455"/>
        </w:tabs>
        <w:spacing w:before="120" w:after="240" w:line="360" w:lineRule="auto"/>
        <w:ind w:left="1560" w:hanging="851"/>
        <w:rPr>
          <w:rFonts w:ascii="Verdana" w:hAnsi="Verdana"/>
        </w:rPr>
      </w:pPr>
      <w:r>
        <w:rPr>
          <w:rFonts w:ascii="Verdana" w:hAnsi="Verdana"/>
        </w:rPr>
        <w:t>In accordance with National Standards (D16 Service Specification for Adult Critical Care Services) transfer of patients should be avoided ‘out of hours’ (2200hrs – 0659hrs.</w:t>
      </w:r>
    </w:p>
    <w:p w:rsidR="00B7109D" w:rsidRPr="008B66A3" w:rsidRDefault="008F6D06" w:rsidP="008B66A3">
      <w:pPr>
        <w:pStyle w:val="ListParagraph"/>
        <w:numPr>
          <w:ilvl w:val="2"/>
          <w:numId w:val="21"/>
        </w:numPr>
        <w:tabs>
          <w:tab w:val="left" w:pos="7455"/>
        </w:tabs>
        <w:spacing w:before="120" w:after="240" w:line="360" w:lineRule="auto"/>
        <w:ind w:left="1560" w:hanging="851"/>
        <w:rPr>
          <w:rFonts w:ascii="Verdana" w:hAnsi="Verdana"/>
        </w:rPr>
      </w:pPr>
      <w:r w:rsidRPr="005B1116">
        <w:rPr>
          <w:rFonts w:ascii="Verdana" w:hAnsi="Verdana"/>
        </w:rPr>
        <w:t>The clinical responsibility for the p</w:t>
      </w:r>
      <w:r>
        <w:rPr>
          <w:rFonts w:ascii="Verdana" w:hAnsi="Verdana"/>
        </w:rPr>
        <w:t xml:space="preserve">atient lies with the referring </w:t>
      </w:r>
      <w:r w:rsidRPr="008B66A3">
        <w:rPr>
          <w:rFonts w:ascii="Verdana" w:hAnsi="Verdana"/>
        </w:rPr>
        <w:t xml:space="preserve">hospital until the patient arrives in the local hospital and is handed over to the team. </w:t>
      </w:r>
    </w:p>
    <w:p w:rsidR="00572408" w:rsidRPr="008B66A3" w:rsidRDefault="008F6D06" w:rsidP="008B66A3">
      <w:pPr>
        <w:pStyle w:val="Heading1"/>
        <w:numPr>
          <w:ilvl w:val="0"/>
          <w:numId w:val="5"/>
        </w:numPr>
        <w:spacing w:after="240"/>
        <w:rPr>
          <w:bCs w:val="0"/>
        </w:rPr>
      </w:pPr>
      <w:bookmarkStart w:id="8" w:name="_Toc275003065"/>
      <w:r w:rsidRPr="008B66A3">
        <w:rPr>
          <w:bCs w:val="0"/>
        </w:rPr>
        <w:t>Escalation Procedures</w:t>
      </w:r>
      <w:bookmarkEnd w:id="8"/>
    </w:p>
    <w:p w:rsidR="008F0A95"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036990">
        <w:rPr>
          <w:rFonts w:ascii="Verdana" w:hAnsi="Verdana"/>
        </w:rPr>
        <w:t>If repatriation has not occurred within 48 hours with no change in</w:t>
      </w:r>
      <w:r>
        <w:rPr>
          <w:rFonts w:ascii="Verdana" w:hAnsi="Verdana"/>
        </w:rPr>
        <w:t xml:space="preserve"> </w:t>
      </w:r>
      <w:r w:rsidRPr="0045477B">
        <w:rPr>
          <w:rFonts w:ascii="Verdana" w:hAnsi="Verdana"/>
        </w:rPr>
        <w:t xml:space="preserve">the patient suitability and readiness for transfer this will be recorded as a repatriation delay.  </w:t>
      </w:r>
    </w:p>
    <w:p w:rsidR="00241DE6"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B15040">
        <w:rPr>
          <w:rFonts w:ascii="Verdana" w:hAnsi="Verdana"/>
        </w:rPr>
        <w:t>Referring hospital will</w:t>
      </w:r>
      <w:r w:rsidRPr="0045477B">
        <w:rPr>
          <w:rFonts w:ascii="Verdana" w:hAnsi="Verdana"/>
        </w:rPr>
        <w:t xml:space="preserve"> </w:t>
      </w:r>
      <w:r w:rsidRPr="008F0A95">
        <w:rPr>
          <w:rFonts w:ascii="Verdana" w:hAnsi="Verdana"/>
        </w:rPr>
        <w:t>maintain communication at least daily</w:t>
      </w:r>
      <w:r>
        <w:rPr>
          <w:rFonts w:ascii="Verdana" w:hAnsi="Verdana"/>
        </w:rPr>
        <w:t xml:space="preserve"> </w:t>
      </w:r>
      <w:r w:rsidRPr="0045477B">
        <w:rPr>
          <w:rFonts w:ascii="Verdana" w:hAnsi="Verdana"/>
        </w:rPr>
        <w:t xml:space="preserve">regarding the updated position. Once the initial referral (consultant to consultant) has been made this can be undertaken between senior members of the nursing staff, escalating to medical staff when delays occur. </w:t>
      </w:r>
    </w:p>
    <w:p w:rsidR="00241DE6"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A8527B">
        <w:rPr>
          <w:rFonts w:ascii="Verdana" w:hAnsi="Verdana"/>
        </w:rPr>
        <w:t xml:space="preserve">If repatriation </w:t>
      </w:r>
      <w:r w:rsidR="0024244A">
        <w:rPr>
          <w:rFonts w:ascii="Verdana" w:hAnsi="Verdana"/>
        </w:rPr>
        <w:t xml:space="preserve">has </w:t>
      </w:r>
      <w:r w:rsidRPr="00A8527B">
        <w:rPr>
          <w:rFonts w:ascii="Verdana" w:hAnsi="Verdana"/>
        </w:rPr>
        <w:t xml:space="preserve">not occurred within 48 hours, </w:t>
      </w:r>
      <w:r>
        <w:rPr>
          <w:rFonts w:ascii="Verdana" w:hAnsi="Verdana"/>
        </w:rPr>
        <w:t xml:space="preserve">then receiving hospital </w:t>
      </w:r>
      <w:r w:rsidRPr="0045477B">
        <w:rPr>
          <w:rFonts w:ascii="Verdana" w:hAnsi="Verdana"/>
        </w:rPr>
        <w:t>should consider means of creating extra critical care bed capacity. This should include opening extra staffed beds</w:t>
      </w:r>
      <w:r w:rsidR="00614961">
        <w:rPr>
          <w:rFonts w:ascii="Verdana" w:hAnsi="Verdana"/>
        </w:rPr>
        <w:t xml:space="preserve">, including </w:t>
      </w:r>
      <w:r w:rsidR="00591BB7">
        <w:rPr>
          <w:rFonts w:ascii="Verdana" w:hAnsi="Verdana"/>
        </w:rPr>
        <w:t xml:space="preserve">isolation facilities </w:t>
      </w:r>
      <w:r w:rsidR="00614961">
        <w:rPr>
          <w:rFonts w:ascii="Verdana" w:hAnsi="Verdana"/>
        </w:rPr>
        <w:t>if necessary.</w:t>
      </w:r>
      <w:r w:rsidR="0024244A">
        <w:rPr>
          <w:rFonts w:ascii="Verdana" w:hAnsi="Verdana"/>
        </w:rPr>
        <w:t xml:space="preserve">   Receiving hospitals will need to escalate to Clinical Directors </w:t>
      </w:r>
      <w:r w:rsidRPr="0045477B">
        <w:rPr>
          <w:rFonts w:ascii="Verdana" w:hAnsi="Verdana"/>
        </w:rPr>
        <w:t xml:space="preserve"> </w:t>
      </w:r>
    </w:p>
    <w:p w:rsidR="001E5878"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EF480C">
        <w:rPr>
          <w:rFonts w:ascii="Verdana" w:hAnsi="Verdana"/>
        </w:rPr>
        <w:t>If repatriation has not occurred within 48 hour</w:t>
      </w:r>
      <w:r>
        <w:rPr>
          <w:rFonts w:ascii="Verdana" w:hAnsi="Verdana"/>
        </w:rPr>
        <w:t>s</w:t>
      </w:r>
      <w:r w:rsidRPr="00EF480C">
        <w:rPr>
          <w:rFonts w:ascii="Verdana" w:hAnsi="Verdana"/>
        </w:rPr>
        <w:t xml:space="preserve"> notification will be </w:t>
      </w:r>
      <w:r w:rsidRPr="0045477B">
        <w:rPr>
          <w:rFonts w:ascii="Verdana" w:hAnsi="Verdana"/>
        </w:rPr>
        <w:t>given to the ‘Operations Team’ at the receiving Hospital, and to the</w:t>
      </w:r>
      <w:r>
        <w:rPr>
          <w:rFonts w:ascii="Verdana" w:hAnsi="Verdana"/>
        </w:rPr>
        <w:t xml:space="preserve"> </w:t>
      </w:r>
      <w:r w:rsidRPr="0045477B">
        <w:rPr>
          <w:rFonts w:ascii="Verdana" w:hAnsi="Verdana"/>
        </w:rPr>
        <w:t>Critical Care Network on 01223 245151  Ext: 59757</w:t>
      </w:r>
      <w:r w:rsidR="009A795F">
        <w:rPr>
          <w:rFonts w:ascii="Verdana" w:hAnsi="Verdana"/>
        </w:rPr>
        <w:t>, and/or mandy.baker6@nhs.net</w:t>
      </w:r>
      <w:r w:rsidRPr="0045477B">
        <w:rPr>
          <w:rFonts w:ascii="Verdana" w:hAnsi="Verdana"/>
        </w:rPr>
        <w:t xml:space="preserve"> </w:t>
      </w:r>
    </w:p>
    <w:p w:rsidR="00EF480C"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45477B">
        <w:rPr>
          <w:rFonts w:ascii="Verdana" w:hAnsi="Verdana"/>
        </w:rPr>
        <w:lastRenderedPageBreak/>
        <w:t>Delay in repatriation (Over 72 hours) will be escalated to the Director of Operations to liaise with Director of Operations at receiving hospital for resolution.</w:t>
      </w:r>
    </w:p>
    <w:p w:rsidR="00572408" w:rsidRPr="0045477B" w:rsidRDefault="008F6D06" w:rsidP="0045477B">
      <w:pPr>
        <w:pStyle w:val="ListParagraph"/>
        <w:numPr>
          <w:ilvl w:val="1"/>
          <w:numId w:val="24"/>
        </w:numPr>
        <w:tabs>
          <w:tab w:val="left" w:pos="7455"/>
        </w:tabs>
        <w:spacing w:before="120" w:after="240" w:line="360" w:lineRule="auto"/>
        <w:ind w:left="1560" w:hanging="567"/>
        <w:rPr>
          <w:rFonts w:ascii="Verdana" w:hAnsi="Verdana"/>
        </w:rPr>
      </w:pPr>
      <w:r w:rsidRPr="007A4F2D">
        <w:rPr>
          <w:rFonts w:ascii="Verdana" w:hAnsi="Verdana"/>
        </w:rPr>
        <w:t>In the event of prolonged delay</w:t>
      </w:r>
      <w:r>
        <w:rPr>
          <w:rFonts w:ascii="Verdana" w:hAnsi="Verdana"/>
        </w:rPr>
        <w:t xml:space="preserve"> (over 72 hours)</w:t>
      </w:r>
      <w:r w:rsidRPr="007A4F2D">
        <w:rPr>
          <w:rFonts w:ascii="Verdana" w:hAnsi="Verdana"/>
        </w:rPr>
        <w:t xml:space="preserve"> the East Anglia Area</w:t>
      </w:r>
      <w:r>
        <w:rPr>
          <w:rFonts w:ascii="Verdana" w:hAnsi="Verdana"/>
        </w:rPr>
        <w:t xml:space="preserve"> </w:t>
      </w:r>
      <w:r w:rsidRPr="0045477B">
        <w:rPr>
          <w:rFonts w:ascii="Verdana" w:hAnsi="Verdana"/>
        </w:rPr>
        <w:t xml:space="preserve">Team Specialised Commissioners will be notified of breach of policy for appropriate </w:t>
      </w:r>
      <w:r w:rsidR="009A795F" w:rsidRPr="0045477B">
        <w:rPr>
          <w:rFonts w:ascii="Verdana" w:hAnsi="Verdana"/>
        </w:rPr>
        <w:t>patients</w:t>
      </w:r>
      <w:r w:rsidRPr="0045477B">
        <w:rPr>
          <w:rFonts w:ascii="Verdana" w:hAnsi="Verdana"/>
        </w:rPr>
        <w:t xml:space="preserve"> and CCGs for general critical care patients. </w:t>
      </w:r>
      <w:r w:rsidR="0024244A">
        <w:rPr>
          <w:rFonts w:ascii="Verdana" w:hAnsi="Verdana"/>
        </w:rPr>
        <w:t>It may be possible to negotiate transferring patient to a nearby unit temporarily if a prolonged delay is foreseen.</w:t>
      </w:r>
    </w:p>
    <w:p w:rsidR="005B1116" w:rsidRPr="003B1CBB" w:rsidRDefault="008F6D06" w:rsidP="00241DE6">
      <w:pPr>
        <w:pStyle w:val="ListParagraph"/>
        <w:numPr>
          <w:ilvl w:val="1"/>
          <w:numId w:val="24"/>
        </w:numPr>
        <w:tabs>
          <w:tab w:val="left" w:pos="7455"/>
        </w:tabs>
        <w:spacing w:before="120" w:after="240" w:line="360" w:lineRule="auto"/>
        <w:ind w:left="1560" w:hanging="567"/>
        <w:rPr>
          <w:rFonts w:ascii="Verdana" w:hAnsi="Verdana"/>
          <w:b/>
          <w:sz w:val="18"/>
          <w:szCs w:val="18"/>
        </w:rPr>
      </w:pPr>
      <w:r w:rsidRPr="003B1CBB">
        <w:rPr>
          <w:rFonts w:ascii="Verdana" w:hAnsi="Verdana"/>
        </w:rPr>
        <w:t>Any delay of over 96 hours and more then consider holding CEO to CEO discussions.</w:t>
      </w:r>
      <w:r w:rsidRPr="003B1CBB">
        <w:rPr>
          <w:rFonts w:ascii="Verdana" w:hAnsi="Verdana"/>
          <w:b/>
          <w:sz w:val="18"/>
          <w:szCs w:val="18"/>
        </w:rPr>
        <w:t xml:space="preserve"> </w:t>
      </w:r>
    </w:p>
    <w:p w:rsidR="00241DE6" w:rsidRPr="0045477B" w:rsidRDefault="008F6D06" w:rsidP="0045477B">
      <w:pPr>
        <w:pStyle w:val="Heading1"/>
        <w:numPr>
          <w:ilvl w:val="0"/>
          <w:numId w:val="5"/>
        </w:numPr>
        <w:spacing w:after="240"/>
        <w:rPr>
          <w:bCs w:val="0"/>
        </w:rPr>
      </w:pPr>
      <w:bookmarkStart w:id="9" w:name="_Toc275003066"/>
      <w:r w:rsidRPr="0045477B">
        <w:rPr>
          <w:bCs w:val="0"/>
        </w:rPr>
        <w:t>Infection Status</w:t>
      </w:r>
      <w:bookmarkEnd w:id="9"/>
    </w:p>
    <w:p w:rsidR="00470C98" w:rsidRDefault="008F6D06" w:rsidP="0045477B">
      <w:pPr>
        <w:pStyle w:val="ListParagraph"/>
        <w:numPr>
          <w:ilvl w:val="1"/>
          <w:numId w:val="27"/>
        </w:numPr>
        <w:tabs>
          <w:tab w:val="left" w:pos="7455"/>
        </w:tabs>
        <w:spacing w:before="120" w:after="240" w:line="360" w:lineRule="auto"/>
        <w:ind w:left="1560" w:hanging="567"/>
        <w:rPr>
          <w:rFonts w:ascii="Verdana" w:hAnsi="Verdana"/>
        </w:rPr>
      </w:pPr>
      <w:r w:rsidRPr="00470C98">
        <w:rPr>
          <w:rFonts w:ascii="Verdana" w:hAnsi="Verdana"/>
        </w:rPr>
        <w:t>Infection status must be decl</w:t>
      </w:r>
      <w:r>
        <w:rPr>
          <w:rFonts w:ascii="Verdana" w:hAnsi="Verdana"/>
        </w:rPr>
        <w:t>ared at time of referral.</w:t>
      </w:r>
    </w:p>
    <w:p w:rsidR="005B20A7" w:rsidRPr="0045477B" w:rsidRDefault="008F6D06" w:rsidP="0045477B">
      <w:pPr>
        <w:pStyle w:val="ListParagraph"/>
        <w:numPr>
          <w:ilvl w:val="1"/>
          <w:numId w:val="27"/>
        </w:numPr>
        <w:tabs>
          <w:tab w:val="left" w:pos="7455"/>
        </w:tabs>
        <w:spacing w:before="120" w:after="240" w:line="360" w:lineRule="auto"/>
        <w:ind w:left="1560" w:hanging="567"/>
        <w:rPr>
          <w:rFonts w:ascii="Verdana" w:hAnsi="Verdana"/>
        </w:rPr>
      </w:pPr>
      <w:r>
        <w:rPr>
          <w:rFonts w:ascii="Verdana" w:hAnsi="Verdana"/>
        </w:rPr>
        <w:t xml:space="preserve">Repatriation should not be delayed because a patient’s infection </w:t>
      </w:r>
      <w:r w:rsidRPr="0045477B">
        <w:rPr>
          <w:rFonts w:ascii="Verdana" w:hAnsi="Verdana"/>
        </w:rPr>
        <w:t xml:space="preserve">status includes those infection control issues that a general critical care unit may be expected to manage on a daily basis eg </w:t>
      </w:r>
      <w:r w:rsidR="00A90741">
        <w:rPr>
          <w:rFonts w:ascii="Verdana" w:hAnsi="Verdana"/>
        </w:rPr>
        <w:t>C</w:t>
      </w:r>
      <w:r w:rsidRPr="0045477B">
        <w:rPr>
          <w:rFonts w:ascii="Verdana" w:hAnsi="Verdana"/>
          <w:i/>
        </w:rPr>
        <w:t>lostridium difficile</w:t>
      </w:r>
      <w:r w:rsidRPr="0045477B">
        <w:rPr>
          <w:rFonts w:ascii="Verdana" w:hAnsi="Verdana"/>
        </w:rPr>
        <w:t xml:space="preserve"> &amp; multi-resistant </w:t>
      </w:r>
      <w:r w:rsidR="00A90741">
        <w:rPr>
          <w:rFonts w:ascii="Verdana" w:hAnsi="Verdana"/>
        </w:rPr>
        <w:t>S</w:t>
      </w:r>
      <w:r w:rsidRPr="0045477B">
        <w:rPr>
          <w:rFonts w:ascii="Verdana" w:hAnsi="Verdana"/>
          <w:i/>
        </w:rPr>
        <w:t>taphylococcus aureus</w:t>
      </w:r>
      <w:r w:rsidRPr="0045477B">
        <w:rPr>
          <w:rFonts w:ascii="Verdana" w:hAnsi="Verdana"/>
        </w:rPr>
        <w:t xml:space="preserve"> (MRSA). </w:t>
      </w:r>
      <w:r w:rsidR="00A90741">
        <w:rPr>
          <w:rFonts w:ascii="Verdana" w:hAnsi="Verdana"/>
        </w:rPr>
        <w:t xml:space="preserve"> </w:t>
      </w:r>
      <w:r>
        <w:rPr>
          <w:rFonts w:ascii="Verdana" w:hAnsi="Verdana"/>
        </w:rPr>
        <w:br/>
      </w:r>
      <w:r w:rsidRPr="0045477B">
        <w:rPr>
          <w:rFonts w:ascii="Verdana" w:hAnsi="Verdana"/>
        </w:rPr>
        <w:t xml:space="preserve">Units that have a policy to isolate all transfers </w:t>
      </w:r>
      <w:r w:rsidR="0024244A">
        <w:rPr>
          <w:rFonts w:ascii="Verdana" w:hAnsi="Verdana"/>
        </w:rPr>
        <w:t xml:space="preserve">including those without known infection </w:t>
      </w:r>
      <w:r w:rsidRPr="0045477B">
        <w:rPr>
          <w:rFonts w:ascii="Verdana" w:hAnsi="Verdana"/>
        </w:rPr>
        <w:t>must ensure that they have adequate isolation facilities to manage</w:t>
      </w:r>
      <w:r w:rsidR="00A90741">
        <w:rPr>
          <w:rFonts w:ascii="Verdana" w:hAnsi="Verdana"/>
        </w:rPr>
        <w:t xml:space="preserve"> and this should not delay repatriation</w:t>
      </w:r>
      <w:r w:rsidRPr="0045477B">
        <w:rPr>
          <w:rFonts w:ascii="Verdana" w:hAnsi="Verdana"/>
        </w:rPr>
        <w:t>. It is individual trust and Commissioner responsibility to ensure adequate resources.</w:t>
      </w:r>
      <w:r>
        <w:rPr>
          <w:rFonts w:ascii="Verdana" w:hAnsi="Verdana"/>
        </w:rPr>
        <w:t xml:space="preserve"> </w:t>
      </w:r>
      <w:r w:rsidRPr="0045477B">
        <w:rPr>
          <w:rFonts w:ascii="Verdana" w:hAnsi="Verdana"/>
        </w:rPr>
        <w:t xml:space="preserve">Inadequacy of isolation facilities must be raised with local Clinical Commissioning Groups. </w:t>
      </w:r>
    </w:p>
    <w:p w:rsidR="005B20A7" w:rsidRDefault="008F6D06" w:rsidP="0045477B">
      <w:pPr>
        <w:pStyle w:val="ListParagraph"/>
        <w:numPr>
          <w:ilvl w:val="1"/>
          <w:numId w:val="27"/>
        </w:numPr>
        <w:tabs>
          <w:tab w:val="left" w:pos="7455"/>
        </w:tabs>
        <w:spacing w:before="120" w:after="240" w:line="360" w:lineRule="auto"/>
        <w:ind w:left="1560" w:hanging="567"/>
        <w:rPr>
          <w:rFonts w:ascii="Verdana" w:hAnsi="Verdana"/>
        </w:rPr>
      </w:pPr>
      <w:r>
        <w:rPr>
          <w:rFonts w:ascii="Verdana" w:hAnsi="Verdana"/>
        </w:rPr>
        <w:t xml:space="preserve">Infections that a general critical care unit would </w:t>
      </w:r>
      <w:r w:rsidRPr="0005226A">
        <w:rPr>
          <w:rFonts w:ascii="Verdana" w:hAnsi="Verdana"/>
          <w:i/>
        </w:rPr>
        <w:t>either</w:t>
      </w:r>
    </w:p>
    <w:p w:rsidR="00115719" w:rsidRDefault="008F6D06" w:rsidP="0045477B">
      <w:pPr>
        <w:pStyle w:val="ListParagraph"/>
        <w:numPr>
          <w:ilvl w:val="1"/>
          <w:numId w:val="31"/>
        </w:numPr>
        <w:tabs>
          <w:tab w:val="left" w:pos="7455"/>
        </w:tabs>
        <w:spacing w:before="120" w:after="240" w:line="360" w:lineRule="auto"/>
        <w:ind w:left="2127"/>
        <w:rPr>
          <w:rFonts w:ascii="Verdana" w:hAnsi="Verdana"/>
        </w:rPr>
      </w:pPr>
      <w:r w:rsidRPr="0045477B">
        <w:rPr>
          <w:rFonts w:ascii="Verdana" w:hAnsi="Verdana"/>
        </w:rPr>
        <w:t xml:space="preserve">Not </w:t>
      </w:r>
      <w:r w:rsidRPr="00CB2B1D">
        <w:rPr>
          <w:rFonts w:ascii="Verdana" w:hAnsi="Verdana"/>
        </w:rPr>
        <w:t>normally</w:t>
      </w:r>
      <w:r w:rsidRPr="0045477B">
        <w:rPr>
          <w:rFonts w:ascii="Verdana" w:hAnsi="Verdana"/>
        </w:rPr>
        <w:t xml:space="preserve"> </w:t>
      </w:r>
      <w:r>
        <w:rPr>
          <w:rFonts w:ascii="Verdana" w:hAnsi="Verdana"/>
        </w:rPr>
        <w:t xml:space="preserve">be expected to manage regularly eg tuberculosis </w:t>
      </w:r>
      <w:r w:rsidRPr="0005226A">
        <w:rPr>
          <w:rFonts w:ascii="Verdana" w:hAnsi="Verdana"/>
          <w:i/>
        </w:rPr>
        <w:t>or</w:t>
      </w:r>
    </w:p>
    <w:p w:rsidR="004C116E" w:rsidRPr="0045477B" w:rsidRDefault="0005226A" w:rsidP="0045477B">
      <w:pPr>
        <w:pStyle w:val="ListParagraph"/>
        <w:numPr>
          <w:ilvl w:val="1"/>
          <w:numId w:val="31"/>
        </w:numPr>
        <w:tabs>
          <w:tab w:val="left" w:pos="7455"/>
        </w:tabs>
        <w:spacing w:before="120" w:after="0" w:line="360" w:lineRule="auto"/>
        <w:ind w:left="2127"/>
        <w:rPr>
          <w:rFonts w:ascii="Verdana" w:hAnsi="Verdana"/>
        </w:rPr>
      </w:pPr>
      <w:r>
        <w:rPr>
          <w:rFonts w:ascii="Verdana" w:hAnsi="Verdana"/>
        </w:rPr>
        <w:t>B</w:t>
      </w:r>
      <w:r w:rsidR="008F6D06">
        <w:rPr>
          <w:rFonts w:ascii="Verdana" w:hAnsi="Verdana"/>
        </w:rPr>
        <w:t xml:space="preserve">e a significant risk to the receiving intensive care </w:t>
      </w:r>
      <w:r w:rsidR="008F6D06" w:rsidRPr="0045477B">
        <w:rPr>
          <w:rFonts w:ascii="Verdana" w:hAnsi="Verdana"/>
        </w:rPr>
        <w:t xml:space="preserve">environment such as </w:t>
      </w:r>
      <w:r>
        <w:rPr>
          <w:rFonts w:ascii="Verdana" w:hAnsi="Verdana"/>
        </w:rPr>
        <w:t>m</w:t>
      </w:r>
      <w:r w:rsidR="008F6D06" w:rsidRPr="0045477B">
        <w:rPr>
          <w:rFonts w:ascii="Verdana" w:hAnsi="Verdana"/>
        </w:rPr>
        <w:t xml:space="preserve">ulti-resistant </w:t>
      </w:r>
      <w:r w:rsidR="008F6D06" w:rsidRPr="00A90741">
        <w:rPr>
          <w:rFonts w:ascii="Verdana" w:hAnsi="Verdana"/>
          <w:i/>
        </w:rPr>
        <w:t>Acinetobacter baumannii</w:t>
      </w:r>
      <w:r w:rsidR="00FB3A71">
        <w:rPr>
          <w:rFonts w:ascii="Verdana" w:hAnsi="Verdana"/>
        </w:rPr>
        <w:t xml:space="preserve">, </w:t>
      </w:r>
      <w:r w:rsidR="00FB3A71">
        <w:rPr>
          <w:rFonts w:ascii="Verdana" w:hAnsi="Verdana"/>
          <w:i/>
        </w:rPr>
        <w:t>Carbapenemase Producing Enterobacteriaceae.</w:t>
      </w:r>
    </w:p>
    <w:p w:rsidR="00CC57AC" w:rsidRPr="0045477B" w:rsidRDefault="008F6D06" w:rsidP="0045477B">
      <w:pPr>
        <w:tabs>
          <w:tab w:val="left" w:pos="7455"/>
        </w:tabs>
        <w:spacing w:after="240" w:line="360" w:lineRule="auto"/>
        <w:ind w:left="1560"/>
        <w:rPr>
          <w:rFonts w:ascii="Verdana" w:hAnsi="Verdana"/>
        </w:rPr>
      </w:pPr>
      <w:r w:rsidRPr="0045477B">
        <w:rPr>
          <w:rFonts w:ascii="Verdana" w:hAnsi="Verdana"/>
        </w:rPr>
        <w:t>The isolation of these patients is appropriate and transfer should take place only when this is available.</w:t>
      </w:r>
    </w:p>
    <w:p w:rsidR="00FA41D4" w:rsidRPr="00805271" w:rsidRDefault="008F6D06" w:rsidP="00805271">
      <w:pPr>
        <w:pStyle w:val="Heading1"/>
        <w:numPr>
          <w:ilvl w:val="0"/>
          <w:numId w:val="5"/>
        </w:numPr>
        <w:spacing w:after="240"/>
        <w:rPr>
          <w:bCs w:val="0"/>
        </w:rPr>
      </w:pPr>
      <w:bookmarkStart w:id="10" w:name="_Toc275003067"/>
      <w:r w:rsidRPr="00805271">
        <w:rPr>
          <w:bCs w:val="0"/>
        </w:rPr>
        <w:t>Communication</w:t>
      </w:r>
      <w:bookmarkEnd w:id="10"/>
    </w:p>
    <w:p w:rsidR="00480CFE" w:rsidRDefault="008F6D06" w:rsidP="00805271">
      <w:pPr>
        <w:pStyle w:val="ListParagraph"/>
        <w:tabs>
          <w:tab w:val="left" w:pos="7455"/>
        </w:tabs>
        <w:spacing w:line="360" w:lineRule="auto"/>
        <w:ind w:left="284"/>
        <w:rPr>
          <w:rFonts w:ascii="Verdana" w:hAnsi="Verdana"/>
        </w:rPr>
      </w:pPr>
      <w:r w:rsidRPr="00D47C87">
        <w:rPr>
          <w:rFonts w:ascii="Verdana" w:hAnsi="Verdana"/>
        </w:rPr>
        <w:t>Who should:-</w:t>
      </w:r>
    </w:p>
    <w:p w:rsidR="00D47C87" w:rsidRPr="00805271" w:rsidRDefault="008F6D06" w:rsidP="00805271">
      <w:pPr>
        <w:pStyle w:val="ListParagraph"/>
        <w:numPr>
          <w:ilvl w:val="1"/>
          <w:numId w:val="35"/>
        </w:numPr>
        <w:tabs>
          <w:tab w:val="left" w:pos="7455"/>
        </w:tabs>
        <w:spacing w:before="120" w:after="240" w:line="360" w:lineRule="auto"/>
        <w:ind w:left="1560" w:hanging="567"/>
        <w:rPr>
          <w:rFonts w:ascii="Verdana" w:hAnsi="Verdana"/>
        </w:rPr>
      </w:pPr>
      <w:r w:rsidRPr="00480CFE">
        <w:rPr>
          <w:rFonts w:ascii="Verdana" w:hAnsi="Verdana"/>
        </w:rPr>
        <w:t>Be aware of the document – Trusts, Critical Care Units, Specialised</w:t>
      </w:r>
      <w:r>
        <w:rPr>
          <w:rFonts w:ascii="Verdana" w:hAnsi="Verdana"/>
        </w:rPr>
        <w:t xml:space="preserve"> </w:t>
      </w:r>
      <w:r w:rsidRPr="00805271">
        <w:rPr>
          <w:rFonts w:ascii="Verdana" w:hAnsi="Verdana"/>
        </w:rPr>
        <w:t>Commissioners, Clinical Commissioning Groups</w:t>
      </w:r>
    </w:p>
    <w:p w:rsidR="00D47C87" w:rsidRPr="00805271" w:rsidRDefault="008F6D06" w:rsidP="00805271">
      <w:pPr>
        <w:pStyle w:val="ListParagraph"/>
        <w:numPr>
          <w:ilvl w:val="1"/>
          <w:numId w:val="35"/>
        </w:numPr>
        <w:tabs>
          <w:tab w:val="left" w:pos="7455"/>
        </w:tabs>
        <w:spacing w:before="120" w:after="240" w:line="360" w:lineRule="auto"/>
        <w:ind w:left="1560" w:hanging="567"/>
        <w:rPr>
          <w:rFonts w:ascii="Verdana" w:hAnsi="Verdana"/>
        </w:rPr>
      </w:pPr>
      <w:r w:rsidRPr="00E943E4">
        <w:rPr>
          <w:rFonts w:ascii="Verdana" w:hAnsi="Verdana"/>
        </w:rPr>
        <w:t>Understand the document – Critical Care Units, Trust Operational</w:t>
      </w:r>
      <w:r>
        <w:rPr>
          <w:rFonts w:ascii="Verdana" w:hAnsi="Verdana"/>
        </w:rPr>
        <w:t xml:space="preserve"> </w:t>
      </w:r>
      <w:r w:rsidRPr="00805271">
        <w:rPr>
          <w:rFonts w:ascii="Verdana" w:hAnsi="Verdana"/>
        </w:rPr>
        <w:t>Teams</w:t>
      </w:r>
    </w:p>
    <w:p w:rsidR="00FA41D4" w:rsidRPr="00D47C87" w:rsidRDefault="008F6D06" w:rsidP="00805271">
      <w:pPr>
        <w:pStyle w:val="ListParagraph"/>
        <w:numPr>
          <w:ilvl w:val="1"/>
          <w:numId w:val="35"/>
        </w:numPr>
        <w:tabs>
          <w:tab w:val="left" w:pos="7455"/>
        </w:tabs>
        <w:spacing w:before="120" w:after="240" w:line="360" w:lineRule="auto"/>
        <w:ind w:left="1560" w:hanging="567"/>
        <w:rPr>
          <w:rFonts w:ascii="Verdana" w:hAnsi="Verdana"/>
        </w:rPr>
      </w:pPr>
      <w:r w:rsidRPr="00D47C87">
        <w:rPr>
          <w:rFonts w:ascii="Verdana" w:hAnsi="Verdana"/>
        </w:rPr>
        <w:t>Sign up to the document – Critical Care, Trusts</w:t>
      </w:r>
    </w:p>
    <w:p w:rsidR="006719AE" w:rsidRPr="00805271" w:rsidRDefault="008F6D06" w:rsidP="00805271">
      <w:pPr>
        <w:pStyle w:val="Heading1"/>
        <w:numPr>
          <w:ilvl w:val="0"/>
          <w:numId w:val="5"/>
        </w:numPr>
        <w:spacing w:after="240"/>
        <w:rPr>
          <w:bCs w:val="0"/>
        </w:rPr>
      </w:pPr>
      <w:bookmarkStart w:id="11" w:name="_Toc275003068"/>
      <w:r w:rsidRPr="00805271">
        <w:rPr>
          <w:bCs w:val="0"/>
        </w:rPr>
        <w:lastRenderedPageBreak/>
        <w:t>Monitoring Arrangements</w:t>
      </w:r>
      <w:bookmarkEnd w:id="11"/>
    </w:p>
    <w:p w:rsidR="00B76387" w:rsidRPr="00914EB1" w:rsidRDefault="008F6D06" w:rsidP="00914EB1">
      <w:pPr>
        <w:pStyle w:val="ListParagraph"/>
        <w:numPr>
          <w:ilvl w:val="1"/>
          <w:numId w:val="38"/>
        </w:numPr>
        <w:tabs>
          <w:tab w:val="left" w:pos="7455"/>
        </w:tabs>
        <w:spacing w:before="120" w:after="240" w:line="360" w:lineRule="auto"/>
        <w:ind w:left="1560" w:hanging="709"/>
        <w:rPr>
          <w:rFonts w:ascii="Verdana" w:hAnsi="Verdana"/>
        </w:rPr>
      </w:pPr>
      <w:r w:rsidRPr="00110F32">
        <w:rPr>
          <w:rFonts w:ascii="Verdana" w:hAnsi="Verdana"/>
        </w:rPr>
        <w:t xml:space="preserve">Where the timescale detailed in this policy is not </w:t>
      </w:r>
      <w:r w:rsidR="00EF18A9" w:rsidRPr="00110F32">
        <w:rPr>
          <w:rFonts w:ascii="Verdana" w:hAnsi="Verdana"/>
        </w:rPr>
        <w:t>met</w:t>
      </w:r>
      <w:r w:rsidRPr="00110F32">
        <w:rPr>
          <w:rFonts w:ascii="Verdana" w:hAnsi="Verdana"/>
        </w:rPr>
        <w:t xml:space="preserve"> details of</w:t>
      </w:r>
      <w:r>
        <w:rPr>
          <w:rFonts w:ascii="Verdana" w:hAnsi="Verdana"/>
        </w:rPr>
        <w:t xml:space="preserve"> </w:t>
      </w:r>
      <w:r w:rsidRPr="00914EB1">
        <w:rPr>
          <w:rFonts w:ascii="Verdana" w:hAnsi="Verdana"/>
        </w:rPr>
        <w:t>the receiving hospital, length of delay and the reason for delay will be submitted to the East of England Critical Care Operational Delivery Network Office.</w:t>
      </w:r>
    </w:p>
    <w:p w:rsidR="006719AE" w:rsidRPr="00914EB1" w:rsidRDefault="008F6D06" w:rsidP="00914EB1">
      <w:pPr>
        <w:pStyle w:val="ListParagraph"/>
        <w:numPr>
          <w:ilvl w:val="1"/>
          <w:numId w:val="38"/>
        </w:numPr>
        <w:tabs>
          <w:tab w:val="left" w:pos="7455"/>
        </w:tabs>
        <w:spacing w:before="120" w:after="240" w:line="360" w:lineRule="auto"/>
        <w:ind w:left="1560" w:hanging="709"/>
        <w:rPr>
          <w:rFonts w:ascii="Verdana" w:hAnsi="Verdana"/>
        </w:rPr>
      </w:pPr>
      <w:r w:rsidRPr="00914EB1">
        <w:rPr>
          <w:rFonts w:ascii="Verdana" w:hAnsi="Verdana"/>
        </w:rPr>
        <w:t xml:space="preserve"> </w:t>
      </w:r>
      <w:r w:rsidRPr="00110F32">
        <w:rPr>
          <w:rFonts w:ascii="Verdana" w:hAnsi="Verdana"/>
        </w:rPr>
        <w:t>Where recurrent problems are encountered</w:t>
      </w:r>
      <w:r>
        <w:rPr>
          <w:rFonts w:ascii="Verdana" w:hAnsi="Verdana"/>
        </w:rPr>
        <w:t xml:space="preserve">, such as referral </w:t>
      </w:r>
      <w:r w:rsidRPr="00914EB1">
        <w:rPr>
          <w:rFonts w:ascii="Verdana" w:hAnsi="Verdana"/>
        </w:rPr>
        <w:t>difficulties and repatriation delays the proposed receiving hospital</w:t>
      </w:r>
      <w:r>
        <w:rPr>
          <w:rFonts w:ascii="Verdana" w:hAnsi="Verdana"/>
        </w:rPr>
        <w:t xml:space="preserve"> </w:t>
      </w:r>
      <w:r w:rsidRPr="00914EB1">
        <w:rPr>
          <w:rFonts w:ascii="Verdana" w:hAnsi="Verdana"/>
        </w:rPr>
        <w:t>will be asked to implement appropriate action to prevent further delays.</w:t>
      </w:r>
    </w:p>
    <w:p w:rsidR="006719AE" w:rsidRPr="00914EB1" w:rsidRDefault="008F6D06" w:rsidP="00914EB1">
      <w:pPr>
        <w:pStyle w:val="ListParagraph"/>
        <w:numPr>
          <w:ilvl w:val="1"/>
          <w:numId w:val="38"/>
        </w:numPr>
        <w:tabs>
          <w:tab w:val="left" w:pos="7455"/>
        </w:tabs>
        <w:spacing w:before="120" w:after="240" w:line="360" w:lineRule="auto"/>
        <w:ind w:left="1560" w:hanging="709"/>
        <w:rPr>
          <w:rFonts w:ascii="Verdana" w:hAnsi="Verdana"/>
        </w:rPr>
      </w:pPr>
      <w:r w:rsidRPr="00110F32">
        <w:rPr>
          <w:rFonts w:ascii="Verdana" w:hAnsi="Verdana"/>
        </w:rPr>
        <w:t>Where frequent</w:t>
      </w:r>
      <w:r>
        <w:rPr>
          <w:rFonts w:ascii="Verdana" w:hAnsi="Verdana"/>
        </w:rPr>
        <w:t xml:space="preserve"> or extended</w:t>
      </w:r>
      <w:r w:rsidRPr="00110F32">
        <w:rPr>
          <w:rFonts w:ascii="Verdana" w:hAnsi="Verdana"/>
        </w:rPr>
        <w:t xml:space="preserve"> delays occur this will be highlighted to</w:t>
      </w:r>
      <w:r>
        <w:rPr>
          <w:rFonts w:ascii="Verdana" w:hAnsi="Verdana"/>
        </w:rPr>
        <w:t xml:space="preserve"> </w:t>
      </w:r>
      <w:r w:rsidRPr="00914EB1">
        <w:rPr>
          <w:rFonts w:ascii="Verdana" w:hAnsi="Verdana"/>
        </w:rPr>
        <w:t>the Operational Delivery Network Board for further escalation.</w:t>
      </w:r>
    </w:p>
    <w:p w:rsidR="006719AE" w:rsidRPr="00914EB1" w:rsidRDefault="008F6D06" w:rsidP="00914EB1">
      <w:pPr>
        <w:pStyle w:val="ListParagraph"/>
        <w:numPr>
          <w:ilvl w:val="1"/>
          <w:numId w:val="38"/>
        </w:numPr>
        <w:tabs>
          <w:tab w:val="left" w:pos="7455"/>
        </w:tabs>
        <w:spacing w:before="120" w:after="240" w:line="360" w:lineRule="auto"/>
        <w:ind w:left="1560" w:hanging="709"/>
        <w:rPr>
          <w:rFonts w:ascii="Verdana" w:hAnsi="Verdana"/>
        </w:rPr>
      </w:pPr>
      <w:r>
        <w:rPr>
          <w:rFonts w:ascii="Verdana" w:hAnsi="Verdana"/>
        </w:rPr>
        <w:t>S</w:t>
      </w:r>
      <w:r w:rsidRPr="00110F32">
        <w:rPr>
          <w:rFonts w:ascii="Verdana" w:hAnsi="Verdana"/>
        </w:rPr>
        <w:t>pecialis</w:t>
      </w:r>
      <w:r>
        <w:rPr>
          <w:rFonts w:ascii="Verdana" w:hAnsi="Verdana"/>
        </w:rPr>
        <w:t>ed</w:t>
      </w:r>
      <w:r w:rsidRPr="00110F32">
        <w:rPr>
          <w:rFonts w:ascii="Verdana" w:hAnsi="Verdana"/>
        </w:rPr>
        <w:t xml:space="preserve"> </w:t>
      </w:r>
      <w:r>
        <w:rPr>
          <w:rFonts w:ascii="Verdana" w:hAnsi="Verdana"/>
        </w:rPr>
        <w:t>C</w:t>
      </w:r>
      <w:r w:rsidRPr="00110F32">
        <w:rPr>
          <w:rFonts w:ascii="Verdana" w:hAnsi="Verdana"/>
        </w:rPr>
        <w:t>ommissioning</w:t>
      </w:r>
      <w:r>
        <w:rPr>
          <w:rFonts w:ascii="Verdana" w:hAnsi="Verdana"/>
        </w:rPr>
        <w:t xml:space="preserve"> - s</w:t>
      </w:r>
      <w:r w:rsidRPr="00110F32">
        <w:rPr>
          <w:rFonts w:ascii="Verdana" w:hAnsi="Verdana"/>
        </w:rPr>
        <w:t xml:space="preserve">ignificant delays of over 72hours </w:t>
      </w:r>
      <w:r w:rsidRPr="00914EB1">
        <w:rPr>
          <w:rFonts w:ascii="Verdana" w:hAnsi="Verdana"/>
        </w:rPr>
        <w:t>will be reported through to NHS England - EOE Commissioners.</w:t>
      </w:r>
      <w:r>
        <w:rPr>
          <w:rFonts w:ascii="Verdana" w:hAnsi="Verdana"/>
        </w:rPr>
        <w:t xml:space="preserve"> </w:t>
      </w:r>
      <w:r w:rsidRPr="00914EB1">
        <w:rPr>
          <w:rFonts w:ascii="Verdana" w:hAnsi="Verdana"/>
        </w:rPr>
        <w:t xml:space="preserve">Local Commissioning - then the relevant CCG will be notified. </w:t>
      </w:r>
    </w:p>
    <w:p w:rsidR="001606B7" w:rsidRDefault="00D50DE9" w:rsidP="00110F32">
      <w:pPr>
        <w:pStyle w:val="ListParagraph"/>
        <w:tabs>
          <w:tab w:val="left" w:pos="7455"/>
        </w:tabs>
        <w:spacing w:line="360" w:lineRule="auto"/>
        <w:rPr>
          <w:rFonts w:ascii="Verdana" w:hAnsi="Verdana"/>
        </w:rPr>
      </w:pPr>
    </w:p>
    <w:p w:rsidR="00697B5E" w:rsidRDefault="003B1CBB" w:rsidP="00697B5E">
      <w:pPr>
        <w:pStyle w:val="ListParagraph"/>
        <w:tabs>
          <w:tab w:val="left" w:pos="7455"/>
        </w:tabs>
        <w:spacing w:line="360" w:lineRule="auto"/>
        <w:rPr>
          <w:rFonts w:ascii="Verdana" w:hAnsi="Verdana"/>
          <w:sz w:val="18"/>
          <w:szCs w:val="18"/>
        </w:rPr>
      </w:pPr>
      <w:r>
        <w:rPr>
          <w:rFonts w:ascii="Verdana" w:hAnsi="Verdana"/>
          <w:sz w:val="18"/>
          <w:szCs w:val="18"/>
        </w:rPr>
        <w:t xml:space="preserve">             </w:t>
      </w:r>
      <w:r w:rsidR="008F6D06" w:rsidRPr="001F3417">
        <w:rPr>
          <w:rFonts w:ascii="Verdana" w:hAnsi="Verdana"/>
          <w:sz w:val="18"/>
          <w:szCs w:val="18"/>
        </w:rPr>
        <w:t>All units to audit number of referrals and time from referrals to repatriation</w:t>
      </w:r>
      <w:r w:rsidR="008F6D06">
        <w:rPr>
          <w:rFonts w:ascii="Verdana" w:hAnsi="Verdana"/>
          <w:sz w:val="18"/>
          <w:szCs w:val="18"/>
        </w:rPr>
        <w:t>.</w:t>
      </w:r>
      <w:r w:rsidR="008F6D06" w:rsidRPr="001F3417">
        <w:rPr>
          <w:rFonts w:ascii="Verdana" w:hAnsi="Verdana"/>
          <w:sz w:val="18"/>
          <w:szCs w:val="18"/>
        </w:rPr>
        <w:t xml:space="preserve"> </w:t>
      </w:r>
    </w:p>
    <w:tbl>
      <w:tblPr>
        <w:tblStyle w:val="TableGrid"/>
        <w:tblW w:w="8930" w:type="dxa"/>
        <w:tblInd w:w="1668" w:type="dxa"/>
        <w:tblLayout w:type="fixed"/>
        <w:tblLook w:val="04A0" w:firstRow="1" w:lastRow="0" w:firstColumn="1" w:lastColumn="0" w:noHBand="0" w:noVBand="1"/>
      </w:tblPr>
      <w:tblGrid>
        <w:gridCol w:w="1842"/>
        <w:gridCol w:w="2127"/>
        <w:gridCol w:w="1559"/>
        <w:gridCol w:w="1417"/>
        <w:gridCol w:w="1985"/>
      </w:tblGrid>
      <w:tr w:rsidR="000B24DE" w:rsidTr="003B1CBB">
        <w:tc>
          <w:tcPr>
            <w:tcW w:w="1842" w:type="dxa"/>
          </w:tcPr>
          <w:p w:rsidR="00697B5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Standard to be measured</w:t>
            </w:r>
          </w:p>
        </w:tc>
        <w:tc>
          <w:tcPr>
            <w:tcW w:w="2127" w:type="dxa"/>
          </w:tcPr>
          <w:p w:rsid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 xml:space="preserve">Monitoring </w:t>
            </w:r>
          </w:p>
          <w:p w:rsidR="00697B5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Methodology</w:t>
            </w:r>
          </w:p>
        </w:tc>
        <w:tc>
          <w:tcPr>
            <w:tcW w:w="1559" w:type="dxa"/>
          </w:tcPr>
          <w:p w:rsidR="00697B5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Responsible</w:t>
            </w:r>
          </w:p>
          <w:p w:rsidR="000B24D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Area</w:t>
            </w:r>
          </w:p>
        </w:tc>
        <w:tc>
          <w:tcPr>
            <w:tcW w:w="1417" w:type="dxa"/>
          </w:tcPr>
          <w:p w:rsidR="00697B5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Timescales</w:t>
            </w:r>
          </w:p>
        </w:tc>
        <w:tc>
          <w:tcPr>
            <w:tcW w:w="1985" w:type="dxa"/>
          </w:tcPr>
          <w:p w:rsidR="00697B5E" w:rsidRPr="000B24DE" w:rsidRDefault="008F6D06" w:rsidP="00D22285">
            <w:pPr>
              <w:pStyle w:val="ListParagraph"/>
              <w:tabs>
                <w:tab w:val="left" w:pos="7455"/>
              </w:tabs>
              <w:spacing w:line="360" w:lineRule="auto"/>
              <w:ind w:left="0"/>
              <w:rPr>
                <w:rFonts w:ascii="Verdana" w:hAnsi="Verdana"/>
                <w:b/>
                <w:sz w:val="18"/>
                <w:szCs w:val="18"/>
              </w:rPr>
            </w:pPr>
            <w:r w:rsidRPr="000B24DE">
              <w:rPr>
                <w:rFonts w:ascii="Verdana" w:hAnsi="Verdana"/>
                <w:b/>
                <w:sz w:val="18"/>
                <w:szCs w:val="18"/>
              </w:rPr>
              <w:t>Reporting Arrangements</w:t>
            </w:r>
          </w:p>
        </w:tc>
      </w:tr>
      <w:tr w:rsidR="000B24DE" w:rsidTr="003B1CBB">
        <w:trPr>
          <w:trHeight w:val="2881"/>
        </w:trPr>
        <w:tc>
          <w:tcPr>
            <w:tcW w:w="1842" w:type="dxa"/>
          </w:tcPr>
          <w:p w:rsidR="00697B5E" w:rsidRDefault="008F6D06" w:rsidP="00D22285">
            <w:pPr>
              <w:pStyle w:val="ListParagraph"/>
              <w:tabs>
                <w:tab w:val="left" w:pos="7455"/>
              </w:tabs>
              <w:spacing w:line="360" w:lineRule="auto"/>
              <w:ind w:left="0"/>
              <w:rPr>
                <w:rFonts w:ascii="Verdana" w:hAnsi="Verdana"/>
                <w:sz w:val="18"/>
                <w:szCs w:val="18"/>
              </w:rPr>
            </w:pPr>
            <w:r>
              <w:rPr>
                <w:rFonts w:ascii="Verdana" w:hAnsi="Verdana"/>
                <w:sz w:val="18"/>
                <w:szCs w:val="18"/>
              </w:rPr>
              <w:t>Repatriation of patients within the East of England to either local hospital critical care services or to ward level</w:t>
            </w:r>
          </w:p>
        </w:tc>
        <w:tc>
          <w:tcPr>
            <w:tcW w:w="2127" w:type="dxa"/>
          </w:tcPr>
          <w:p w:rsidR="00697B5E" w:rsidRDefault="008F6D06" w:rsidP="00D22285">
            <w:pPr>
              <w:pStyle w:val="ListParagraph"/>
              <w:tabs>
                <w:tab w:val="left" w:pos="7455"/>
              </w:tabs>
              <w:spacing w:line="360" w:lineRule="auto"/>
              <w:ind w:left="0"/>
              <w:rPr>
                <w:rFonts w:ascii="Verdana" w:hAnsi="Verdana"/>
                <w:sz w:val="18"/>
                <w:szCs w:val="18"/>
              </w:rPr>
            </w:pPr>
            <w:r>
              <w:rPr>
                <w:rFonts w:ascii="Verdana" w:hAnsi="Verdana"/>
                <w:sz w:val="18"/>
                <w:szCs w:val="18"/>
              </w:rPr>
              <w:t>All units to audit</w:t>
            </w:r>
          </w:p>
          <w:p w:rsidR="000B24DE" w:rsidRDefault="008F6D06" w:rsidP="000B24DE">
            <w:pPr>
              <w:pStyle w:val="ListParagraph"/>
              <w:numPr>
                <w:ilvl w:val="0"/>
                <w:numId w:val="3"/>
              </w:numPr>
              <w:tabs>
                <w:tab w:val="left" w:pos="7455"/>
              </w:tabs>
              <w:spacing w:line="360" w:lineRule="auto"/>
              <w:rPr>
                <w:rFonts w:ascii="Verdana" w:hAnsi="Verdana"/>
                <w:sz w:val="18"/>
                <w:szCs w:val="18"/>
              </w:rPr>
            </w:pPr>
            <w:r>
              <w:rPr>
                <w:rFonts w:ascii="Verdana" w:hAnsi="Verdana"/>
                <w:sz w:val="18"/>
                <w:szCs w:val="18"/>
              </w:rPr>
              <w:t>Number of referrals</w:t>
            </w:r>
          </w:p>
          <w:p w:rsidR="000B24DE" w:rsidRDefault="008F6D06" w:rsidP="000B24DE">
            <w:pPr>
              <w:pStyle w:val="ListParagraph"/>
              <w:numPr>
                <w:ilvl w:val="0"/>
                <w:numId w:val="3"/>
              </w:numPr>
              <w:tabs>
                <w:tab w:val="left" w:pos="7455"/>
              </w:tabs>
              <w:spacing w:line="360" w:lineRule="auto"/>
              <w:rPr>
                <w:rFonts w:ascii="Verdana" w:hAnsi="Verdana"/>
                <w:sz w:val="18"/>
                <w:szCs w:val="18"/>
              </w:rPr>
            </w:pPr>
            <w:r>
              <w:rPr>
                <w:rFonts w:ascii="Verdana" w:hAnsi="Verdana"/>
                <w:sz w:val="18"/>
                <w:szCs w:val="18"/>
              </w:rPr>
              <w:t>Time of referral to repatriation</w:t>
            </w:r>
          </w:p>
          <w:p w:rsidR="000B24DE" w:rsidRPr="009E1591" w:rsidRDefault="008F6D06" w:rsidP="009E1591">
            <w:pPr>
              <w:pStyle w:val="ListParagraph"/>
              <w:numPr>
                <w:ilvl w:val="0"/>
                <w:numId w:val="3"/>
              </w:numPr>
              <w:tabs>
                <w:tab w:val="left" w:pos="7455"/>
              </w:tabs>
              <w:spacing w:line="360" w:lineRule="auto"/>
              <w:rPr>
                <w:rFonts w:ascii="Verdana" w:hAnsi="Verdana"/>
                <w:sz w:val="18"/>
                <w:szCs w:val="18"/>
              </w:rPr>
            </w:pPr>
            <w:r>
              <w:rPr>
                <w:rFonts w:ascii="Verdana" w:hAnsi="Verdana"/>
                <w:sz w:val="18"/>
                <w:szCs w:val="18"/>
              </w:rPr>
              <w:t>Reasons for repatriation delays</w:t>
            </w:r>
          </w:p>
          <w:p w:rsidR="000B24DE" w:rsidRDefault="00D50DE9" w:rsidP="00D22285">
            <w:pPr>
              <w:pStyle w:val="ListParagraph"/>
              <w:tabs>
                <w:tab w:val="left" w:pos="7455"/>
              </w:tabs>
              <w:spacing w:line="360" w:lineRule="auto"/>
              <w:ind w:left="0"/>
              <w:rPr>
                <w:rFonts w:ascii="Verdana" w:hAnsi="Verdana"/>
                <w:sz w:val="18"/>
                <w:szCs w:val="18"/>
              </w:rPr>
            </w:pPr>
          </w:p>
          <w:p w:rsidR="00697B5E" w:rsidRDefault="00D50DE9" w:rsidP="000B24DE">
            <w:pPr>
              <w:pStyle w:val="ListParagraph"/>
              <w:tabs>
                <w:tab w:val="left" w:pos="7455"/>
              </w:tabs>
              <w:spacing w:line="360" w:lineRule="auto"/>
              <w:ind w:left="0"/>
              <w:rPr>
                <w:rFonts w:ascii="Verdana" w:hAnsi="Verdana"/>
                <w:sz w:val="18"/>
                <w:szCs w:val="18"/>
              </w:rPr>
            </w:pPr>
          </w:p>
        </w:tc>
        <w:tc>
          <w:tcPr>
            <w:tcW w:w="1559" w:type="dxa"/>
          </w:tcPr>
          <w:p w:rsidR="00697B5E" w:rsidRDefault="008F6D06" w:rsidP="00D22285">
            <w:pPr>
              <w:pStyle w:val="ListParagraph"/>
              <w:tabs>
                <w:tab w:val="left" w:pos="7455"/>
              </w:tabs>
              <w:spacing w:line="360" w:lineRule="auto"/>
              <w:ind w:left="0"/>
              <w:rPr>
                <w:rFonts w:ascii="Verdana" w:hAnsi="Verdana"/>
                <w:sz w:val="18"/>
                <w:szCs w:val="18"/>
              </w:rPr>
            </w:pPr>
            <w:r>
              <w:rPr>
                <w:rFonts w:ascii="Verdana" w:hAnsi="Verdana"/>
                <w:sz w:val="18"/>
                <w:szCs w:val="18"/>
              </w:rPr>
              <w:t>Trusts</w:t>
            </w:r>
          </w:p>
        </w:tc>
        <w:tc>
          <w:tcPr>
            <w:tcW w:w="1417" w:type="dxa"/>
          </w:tcPr>
          <w:p w:rsidR="00697B5E" w:rsidRDefault="008F6D06" w:rsidP="00D22285">
            <w:pPr>
              <w:pStyle w:val="ListParagraph"/>
              <w:tabs>
                <w:tab w:val="left" w:pos="7455"/>
              </w:tabs>
              <w:spacing w:line="360" w:lineRule="auto"/>
              <w:ind w:left="0"/>
              <w:rPr>
                <w:rFonts w:ascii="Verdana" w:hAnsi="Verdana"/>
                <w:sz w:val="18"/>
                <w:szCs w:val="18"/>
              </w:rPr>
            </w:pPr>
            <w:r>
              <w:rPr>
                <w:rFonts w:ascii="Verdana" w:hAnsi="Verdana"/>
                <w:sz w:val="18"/>
                <w:szCs w:val="18"/>
              </w:rPr>
              <w:t>Quarterly</w:t>
            </w:r>
          </w:p>
        </w:tc>
        <w:tc>
          <w:tcPr>
            <w:tcW w:w="1985" w:type="dxa"/>
          </w:tcPr>
          <w:p w:rsidR="00697B5E" w:rsidRDefault="008F6D06" w:rsidP="00D22285">
            <w:pPr>
              <w:pStyle w:val="ListParagraph"/>
              <w:tabs>
                <w:tab w:val="left" w:pos="7455"/>
              </w:tabs>
              <w:spacing w:line="360" w:lineRule="auto"/>
              <w:ind w:left="0"/>
              <w:rPr>
                <w:rFonts w:ascii="Verdana" w:hAnsi="Verdana"/>
                <w:sz w:val="18"/>
                <w:szCs w:val="18"/>
              </w:rPr>
            </w:pPr>
            <w:r>
              <w:rPr>
                <w:rFonts w:ascii="Verdana" w:hAnsi="Verdana"/>
                <w:sz w:val="18"/>
                <w:szCs w:val="18"/>
              </w:rPr>
              <w:t>East of England Critical Care Operational Delivery Network</w:t>
            </w:r>
          </w:p>
        </w:tc>
      </w:tr>
    </w:tbl>
    <w:p w:rsidR="003B1CBB" w:rsidRDefault="003B1CBB" w:rsidP="003432CB">
      <w:pPr>
        <w:tabs>
          <w:tab w:val="left" w:pos="7455"/>
        </w:tabs>
        <w:spacing w:after="0" w:line="360" w:lineRule="auto"/>
        <w:rPr>
          <w:rFonts w:ascii="Verdana" w:hAnsi="Verdana"/>
          <w:sz w:val="18"/>
          <w:szCs w:val="18"/>
        </w:rPr>
      </w:pPr>
      <w:r>
        <w:rPr>
          <w:rFonts w:ascii="Verdana" w:hAnsi="Verdana"/>
          <w:sz w:val="18"/>
          <w:szCs w:val="18"/>
        </w:rPr>
        <w:t xml:space="preserve">                        </w:t>
      </w:r>
      <w:r w:rsidR="008F6D06" w:rsidRPr="003432CB">
        <w:rPr>
          <w:rFonts w:ascii="Verdana" w:hAnsi="Verdana"/>
          <w:sz w:val="18"/>
          <w:szCs w:val="18"/>
        </w:rPr>
        <w:t xml:space="preserve">Send to Critical Care Operational Delivery Network, Addenbrookes Hospital, Box 93, Hills Road, </w:t>
      </w:r>
      <w:r>
        <w:rPr>
          <w:rFonts w:ascii="Verdana" w:hAnsi="Verdana"/>
          <w:sz w:val="18"/>
          <w:szCs w:val="18"/>
        </w:rPr>
        <w:t xml:space="preserve">             </w:t>
      </w:r>
    </w:p>
    <w:p w:rsidR="003432CB" w:rsidRDefault="003B1CBB" w:rsidP="003432CB">
      <w:pPr>
        <w:tabs>
          <w:tab w:val="left" w:pos="7455"/>
        </w:tabs>
        <w:spacing w:after="0" w:line="360" w:lineRule="auto"/>
        <w:rPr>
          <w:rFonts w:ascii="Verdana" w:hAnsi="Verdana"/>
          <w:sz w:val="18"/>
          <w:szCs w:val="18"/>
        </w:rPr>
      </w:pPr>
      <w:r>
        <w:rPr>
          <w:rFonts w:ascii="Verdana" w:hAnsi="Verdana"/>
          <w:sz w:val="18"/>
          <w:szCs w:val="18"/>
        </w:rPr>
        <w:t xml:space="preserve">                        </w:t>
      </w:r>
      <w:r w:rsidR="008F6D06" w:rsidRPr="003432CB">
        <w:rPr>
          <w:rFonts w:ascii="Verdana" w:hAnsi="Verdana"/>
          <w:sz w:val="18"/>
          <w:szCs w:val="18"/>
        </w:rPr>
        <w:t>Cambridge, CB2 0QQ</w:t>
      </w:r>
    </w:p>
    <w:p w:rsidR="005605B1" w:rsidRPr="00914EB1" w:rsidRDefault="008F6D06" w:rsidP="00914EB1">
      <w:pPr>
        <w:pStyle w:val="Heading1"/>
        <w:numPr>
          <w:ilvl w:val="0"/>
          <w:numId w:val="5"/>
        </w:numPr>
        <w:spacing w:after="240"/>
        <w:rPr>
          <w:bCs w:val="0"/>
        </w:rPr>
      </w:pPr>
      <w:bookmarkStart w:id="12" w:name="_Toc275003069"/>
      <w:r w:rsidRPr="00914EB1">
        <w:rPr>
          <w:bCs w:val="0"/>
        </w:rPr>
        <w:t>Incident Reporting</w:t>
      </w:r>
      <w:bookmarkEnd w:id="12"/>
    </w:p>
    <w:p w:rsidR="005605B1" w:rsidRPr="00914EB1" w:rsidRDefault="008F6D06" w:rsidP="00914EB1">
      <w:pPr>
        <w:pStyle w:val="ListParagraph"/>
        <w:numPr>
          <w:ilvl w:val="1"/>
          <w:numId w:val="41"/>
        </w:numPr>
        <w:tabs>
          <w:tab w:val="left" w:pos="7455"/>
        </w:tabs>
        <w:spacing w:before="120" w:after="240" w:line="360" w:lineRule="auto"/>
        <w:ind w:left="1560" w:hanging="709"/>
        <w:rPr>
          <w:rFonts w:ascii="Verdana" w:hAnsi="Verdana"/>
        </w:rPr>
      </w:pPr>
      <w:r w:rsidRPr="005605B1">
        <w:rPr>
          <w:rFonts w:ascii="Verdana" w:hAnsi="Verdana"/>
        </w:rPr>
        <w:t>All</w:t>
      </w:r>
      <w:r>
        <w:rPr>
          <w:rFonts w:ascii="Verdana" w:hAnsi="Verdana"/>
        </w:rPr>
        <w:t xml:space="preserve"> trusts within the East of England Critical Care ODN will </w:t>
      </w:r>
      <w:r w:rsidRPr="00914EB1">
        <w:rPr>
          <w:rFonts w:ascii="Verdana" w:hAnsi="Verdana"/>
        </w:rPr>
        <w:t>continue to operate within their own clinical governance</w:t>
      </w:r>
      <w:r>
        <w:rPr>
          <w:rFonts w:ascii="Verdana" w:hAnsi="Verdana"/>
        </w:rPr>
        <w:t xml:space="preserve"> </w:t>
      </w:r>
      <w:r w:rsidRPr="00914EB1">
        <w:rPr>
          <w:rFonts w:ascii="Verdana" w:hAnsi="Verdana"/>
        </w:rPr>
        <w:t>framework and all adverse incidents should be reported in</w:t>
      </w:r>
      <w:r>
        <w:rPr>
          <w:rFonts w:ascii="Verdana" w:hAnsi="Verdana"/>
        </w:rPr>
        <w:t xml:space="preserve"> </w:t>
      </w:r>
      <w:r w:rsidRPr="00914EB1">
        <w:rPr>
          <w:rFonts w:ascii="Verdana" w:hAnsi="Verdana"/>
        </w:rPr>
        <w:t>line with their internal governance system.</w:t>
      </w:r>
    </w:p>
    <w:p w:rsidR="005007C5" w:rsidRPr="00914EB1" w:rsidRDefault="008F6D06" w:rsidP="00914EB1">
      <w:pPr>
        <w:pStyle w:val="ListParagraph"/>
        <w:numPr>
          <w:ilvl w:val="1"/>
          <w:numId w:val="41"/>
        </w:numPr>
        <w:tabs>
          <w:tab w:val="left" w:pos="7455"/>
        </w:tabs>
        <w:spacing w:before="120" w:after="240" w:line="360" w:lineRule="auto"/>
        <w:ind w:left="1560" w:hanging="709"/>
        <w:rPr>
          <w:rFonts w:ascii="Verdana" w:hAnsi="Verdana"/>
        </w:rPr>
      </w:pPr>
      <w:r w:rsidRPr="005605B1">
        <w:rPr>
          <w:rFonts w:ascii="Verdana" w:hAnsi="Verdana"/>
        </w:rPr>
        <w:t xml:space="preserve">Any incidents associated </w:t>
      </w:r>
      <w:r>
        <w:rPr>
          <w:rFonts w:ascii="Verdana" w:hAnsi="Verdana"/>
        </w:rPr>
        <w:t xml:space="preserve">with repatriation and/or transfer </w:t>
      </w:r>
      <w:r w:rsidRPr="00914EB1">
        <w:rPr>
          <w:rFonts w:ascii="Verdana" w:hAnsi="Verdana"/>
        </w:rPr>
        <w:t>should be reported in line with the trusts internal processes</w:t>
      </w:r>
      <w:r>
        <w:rPr>
          <w:rFonts w:ascii="Verdana" w:hAnsi="Verdana"/>
        </w:rPr>
        <w:t xml:space="preserve"> </w:t>
      </w:r>
      <w:r w:rsidRPr="00914EB1">
        <w:rPr>
          <w:rFonts w:ascii="Verdana" w:hAnsi="Verdana"/>
        </w:rPr>
        <w:t>along with notifying the trust local Critical Care Deliver</w:t>
      </w:r>
      <w:r>
        <w:rPr>
          <w:rFonts w:ascii="Verdana" w:hAnsi="Verdana"/>
        </w:rPr>
        <w:t xml:space="preserve">y </w:t>
      </w:r>
      <w:r w:rsidRPr="00914EB1">
        <w:rPr>
          <w:rFonts w:ascii="Verdana" w:hAnsi="Verdana"/>
        </w:rPr>
        <w:t xml:space="preserve">Group and the Network Office. </w:t>
      </w:r>
    </w:p>
    <w:p w:rsidR="00697B5E" w:rsidRPr="00914EB1" w:rsidRDefault="008F6D06" w:rsidP="00914EB1">
      <w:pPr>
        <w:pStyle w:val="ListParagraph"/>
        <w:numPr>
          <w:ilvl w:val="1"/>
          <w:numId w:val="41"/>
        </w:numPr>
        <w:tabs>
          <w:tab w:val="left" w:pos="7455"/>
        </w:tabs>
        <w:spacing w:before="120" w:after="240" w:line="360" w:lineRule="auto"/>
        <w:ind w:left="1560" w:hanging="709"/>
        <w:rPr>
          <w:rFonts w:ascii="Verdana" w:hAnsi="Verdana"/>
        </w:rPr>
      </w:pPr>
      <w:r w:rsidRPr="00914EB1">
        <w:rPr>
          <w:rFonts w:ascii="Verdana" w:hAnsi="Verdana"/>
        </w:rPr>
        <w:t xml:space="preserve">Quarterly Reporting of Incidents to the Network Office </w:t>
      </w:r>
      <w:r w:rsidRPr="00914EB1">
        <w:rPr>
          <w:rFonts w:ascii="Verdana" w:hAnsi="Verdana"/>
        </w:rPr>
        <w:tab/>
      </w:r>
    </w:p>
    <w:p w:rsidR="00697B5E" w:rsidRDefault="008F6D06" w:rsidP="00914EB1">
      <w:pPr>
        <w:pStyle w:val="ListParagraph"/>
        <w:numPr>
          <w:ilvl w:val="0"/>
          <w:numId w:val="1"/>
        </w:numPr>
        <w:tabs>
          <w:tab w:val="left" w:pos="7455"/>
        </w:tabs>
        <w:spacing w:after="0" w:line="360" w:lineRule="auto"/>
        <w:rPr>
          <w:rFonts w:ascii="Verdana" w:hAnsi="Verdana"/>
        </w:rPr>
      </w:pPr>
      <w:r>
        <w:rPr>
          <w:rFonts w:ascii="Verdana" w:hAnsi="Verdana"/>
        </w:rPr>
        <w:lastRenderedPageBreak/>
        <w:t xml:space="preserve">Date of Incident </w:t>
      </w:r>
    </w:p>
    <w:p w:rsidR="005007C5" w:rsidRDefault="008F6D06" w:rsidP="00914EB1">
      <w:pPr>
        <w:pStyle w:val="ListParagraph"/>
        <w:numPr>
          <w:ilvl w:val="0"/>
          <w:numId w:val="1"/>
        </w:numPr>
        <w:tabs>
          <w:tab w:val="left" w:pos="7455"/>
        </w:tabs>
        <w:spacing w:after="0" w:line="360" w:lineRule="auto"/>
        <w:rPr>
          <w:rFonts w:ascii="Verdana" w:hAnsi="Verdana"/>
        </w:rPr>
      </w:pPr>
      <w:r>
        <w:rPr>
          <w:rFonts w:ascii="Verdana" w:hAnsi="Verdana"/>
        </w:rPr>
        <w:t>Factual account</w:t>
      </w:r>
    </w:p>
    <w:p w:rsidR="005007C5" w:rsidRDefault="008F6D06" w:rsidP="00914EB1">
      <w:pPr>
        <w:pStyle w:val="ListParagraph"/>
        <w:numPr>
          <w:ilvl w:val="0"/>
          <w:numId w:val="1"/>
        </w:numPr>
        <w:tabs>
          <w:tab w:val="left" w:pos="7455"/>
        </w:tabs>
        <w:spacing w:after="0" w:line="360" w:lineRule="auto"/>
        <w:rPr>
          <w:rFonts w:ascii="Verdana" w:hAnsi="Verdana"/>
        </w:rPr>
      </w:pPr>
      <w:r>
        <w:rPr>
          <w:rFonts w:ascii="Verdana" w:hAnsi="Verdana"/>
        </w:rPr>
        <w:t>Action Taken or Planned</w:t>
      </w:r>
    </w:p>
    <w:p w:rsidR="005007C5" w:rsidRDefault="008F6D06" w:rsidP="00914EB1">
      <w:pPr>
        <w:pStyle w:val="ListParagraph"/>
        <w:numPr>
          <w:ilvl w:val="0"/>
          <w:numId w:val="1"/>
        </w:numPr>
        <w:tabs>
          <w:tab w:val="left" w:pos="7455"/>
        </w:tabs>
        <w:spacing w:after="0" w:line="360" w:lineRule="auto"/>
        <w:rPr>
          <w:rFonts w:ascii="Verdana" w:hAnsi="Verdana"/>
        </w:rPr>
      </w:pPr>
      <w:r>
        <w:rPr>
          <w:rFonts w:ascii="Verdana" w:hAnsi="Verdana"/>
        </w:rPr>
        <w:t>Outcome</w:t>
      </w:r>
    </w:p>
    <w:p w:rsidR="005007C5" w:rsidRDefault="008F6D06" w:rsidP="00914EB1">
      <w:pPr>
        <w:pStyle w:val="ListParagraph"/>
        <w:numPr>
          <w:ilvl w:val="0"/>
          <w:numId w:val="1"/>
        </w:numPr>
        <w:tabs>
          <w:tab w:val="left" w:pos="7455"/>
        </w:tabs>
        <w:spacing w:after="0" w:line="360" w:lineRule="auto"/>
        <w:rPr>
          <w:rFonts w:ascii="Verdana" w:hAnsi="Verdana"/>
        </w:rPr>
      </w:pPr>
      <w:r>
        <w:rPr>
          <w:rFonts w:ascii="Verdana" w:hAnsi="Verdana"/>
        </w:rPr>
        <w:t>Supporting evidence if applicable</w:t>
      </w:r>
    </w:p>
    <w:p w:rsidR="00554788" w:rsidRDefault="00D50DE9" w:rsidP="00047A9F">
      <w:pPr>
        <w:tabs>
          <w:tab w:val="left" w:pos="7455"/>
        </w:tabs>
        <w:spacing w:after="0" w:line="360" w:lineRule="auto"/>
        <w:rPr>
          <w:rFonts w:ascii="Verdana" w:hAnsi="Verdana"/>
        </w:rPr>
      </w:pPr>
    </w:p>
    <w:p w:rsidR="00047A9F" w:rsidRDefault="008F6D06" w:rsidP="00047A9F">
      <w:pPr>
        <w:tabs>
          <w:tab w:val="left" w:pos="7455"/>
        </w:tabs>
        <w:spacing w:after="0" w:line="360" w:lineRule="auto"/>
        <w:rPr>
          <w:rFonts w:ascii="Verdana" w:hAnsi="Verdana"/>
        </w:rPr>
      </w:pPr>
      <w:r>
        <w:rPr>
          <w:rFonts w:ascii="Verdana" w:hAnsi="Verdana"/>
        </w:rPr>
        <w:t xml:space="preserve">Send to:- </w:t>
      </w:r>
    </w:p>
    <w:p w:rsidR="00697B5E" w:rsidRDefault="008F6D06" w:rsidP="00047A9F">
      <w:pPr>
        <w:tabs>
          <w:tab w:val="left" w:pos="7455"/>
        </w:tabs>
        <w:spacing w:after="0" w:line="360" w:lineRule="auto"/>
        <w:rPr>
          <w:rFonts w:ascii="Verdana" w:hAnsi="Verdana"/>
        </w:rPr>
      </w:pPr>
      <w:r>
        <w:rPr>
          <w:rFonts w:ascii="Verdana" w:hAnsi="Verdana"/>
        </w:rPr>
        <w:t>Critical Care Operational Delivery Network</w:t>
      </w:r>
    </w:p>
    <w:p w:rsidR="00047A9F" w:rsidRDefault="008F6D06" w:rsidP="00047A9F">
      <w:pPr>
        <w:tabs>
          <w:tab w:val="left" w:pos="7455"/>
        </w:tabs>
        <w:spacing w:after="0" w:line="360" w:lineRule="auto"/>
        <w:rPr>
          <w:rFonts w:ascii="Verdana" w:hAnsi="Verdana"/>
        </w:rPr>
      </w:pPr>
      <w:r>
        <w:rPr>
          <w:rFonts w:ascii="Verdana" w:hAnsi="Verdana"/>
        </w:rPr>
        <w:t>Addenbrookes Hospital</w:t>
      </w:r>
    </w:p>
    <w:p w:rsidR="00047A9F" w:rsidRDefault="008F6D06" w:rsidP="00047A9F">
      <w:pPr>
        <w:tabs>
          <w:tab w:val="left" w:pos="7455"/>
        </w:tabs>
        <w:spacing w:after="0" w:line="360" w:lineRule="auto"/>
        <w:rPr>
          <w:rFonts w:ascii="Verdana" w:hAnsi="Verdana"/>
        </w:rPr>
      </w:pPr>
      <w:r>
        <w:rPr>
          <w:rFonts w:ascii="Verdana" w:hAnsi="Verdana"/>
        </w:rPr>
        <w:t>Box 93</w:t>
      </w:r>
    </w:p>
    <w:p w:rsidR="00047A9F" w:rsidRDefault="008F6D06" w:rsidP="00047A9F">
      <w:pPr>
        <w:tabs>
          <w:tab w:val="left" w:pos="7455"/>
        </w:tabs>
        <w:spacing w:after="0" w:line="360" w:lineRule="auto"/>
        <w:rPr>
          <w:rFonts w:ascii="Verdana" w:hAnsi="Verdana"/>
        </w:rPr>
      </w:pPr>
      <w:r>
        <w:rPr>
          <w:rFonts w:ascii="Verdana" w:hAnsi="Verdana"/>
        </w:rPr>
        <w:t>Hills Road</w:t>
      </w:r>
    </w:p>
    <w:p w:rsidR="00047A9F" w:rsidRDefault="008F6D06" w:rsidP="00047A9F">
      <w:pPr>
        <w:tabs>
          <w:tab w:val="left" w:pos="7455"/>
        </w:tabs>
        <w:spacing w:after="0" w:line="360" w:lineRule="auto"/>
        <w:rPr>
          <w:rFonts w:ascii="Verdana" w:hAnsi="Verdana"/>
        </w:rPr>
      </w:pPr>
      <w:r>
        <w:rPr>
          <w:rFonts w:ascii="Verdana" w:hAnsi="Verdana"/>
        </w:rPr>
        <w:t>Cambridge</w:t>
      </w:r>
    </w:p>
    <w:p w:rsidR="00B73B36" w:rsidRDefault="008F6D06" w:rsidP="003D70D6">
      <w:pPr>
        <w:tabs>
          <w:tab w:val="left" w:pos="7455"/>
        </w:tabs>
        <w:spacing w:after="0" w:line="360" w:lineRule="auto"/>
        <w:rPr>
          <w:rFonts w:ascii="Verdana" w:hAnsi="Verdana"/>
        </w:rPr>
      </w:pPr>
      <w:r>
        <w:rPr>
          <w:rFonts w:ascii="Verdana" w:hAnsi="Verdana"/>
        </w:rPr>
        <w:t>CB2 0QQ</w:t>
      </w:r>
    </w:p>
    <w:p w:rsidR="00B73B36" w:rsidRPr="00B73B36" w:rsidRDefault="00D50DE9" w:rsidP="00B73B36">
      <w:pPr>
        <w:rPr>
          <w:rFonts w:ascii="Verdana" w:hAnsi="Verdana"/>
        </w:rPr>
      </w:pPr>
    </w:p>
    <w:p w:rsidR="00B73B36" w:rsidRPr="00B73B36" w:rsidRDefault="00D50DE9" w:rsidP="00B73B36">
      <w:pPr>
        <w:rPr>
          <w:rFonts w:ascii="Verdana" w:hAnsi="Verdana"/>
        </w:rPr>
      </w:pPr>
    </w:p>
    <w:p w:rsidR="004F37BB" w:rsidRDefault="00D50DE9" w:rsidP="00B73B36">
      <w:pPr>
        <w:tabs>
          <w:tab w:val="left" w:pos="7455"/>
        </w:tabs>
        <w:spacing w:line="360" w:lineRule="auto"/>
        <w:rPr>
          <w:rFonts w:ascii="Verdana" w:hAnsi="Verdana"/>
          <w:b/>
          <w:sz w:val="18"/>
          <w:szCs w:val="18"/>
        </w:rPr>
      </w:pPr>
    </w:p>
    <w:sectPr w:rsidR="004F37BB" w:rsidSect="005465FD">
      <w:footerReference w:type="default" r:id="rId9"/>
      <w:pgSz w:w="11906" w:h="16838"/>
      <w:pgMar w:top="284" w:right="707" w:bottom="284" w:left="24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06" w:rsidRDefault="008F6D06" w:rsidP="00745E3B">
      <w:pPr>
        <w:spacing w:after="0" w:line="240" w:lineRule="auto"/>
      </w:pPr>
      <w:r>
        <w:separator/>
      </w:r>
    </w:p>
  </w:endnote>
  <w:endnote w:type="continuationSeparator" w:id="0">
    <w:p w:rsidR="008F6D06" w:rsidRDefault="008F6D06" w:rsidP="0074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99" w:rsidRDefault="00D50DE9" w:rsidP="00745E3B">
    <w:pPr>
      <w:pStyle w:val="Footer"/>
      <w:rPr>
        <w:rFonts w:ascii="Arial" w:eastAsia="Times New Roman" w:hAnsi="Arial" w:cs="Times New Roman"/>
        <w:sz w:val="16"/>
        <w:szCs w:val="16"/>
        <w:lang w:val="en-US" w:eastAsia="en-GB"/>
      </w:rPr>
    </w:pPr>
  </w:p>
  <w:p w:rsidR="00602099" w:rsidRDefault="00D50DE9" w:rsidP="00745E3B">
    <w:pPr>
      <w:pStyle w:val="Footer"/>
      <w:rPr>
        <w:rFonts w:ascii="Arial" w:eastAsia="Times New Roman" w:hAnsi="Arial" w:cs="Times New Roman"/>
        <w:sz w:val="16"/>
        <w:szCs w:val="16"/>
        <w:lang w:val="en-US" w:eastAsia="en-GB"/>
      </w:rPr>
    </w:pPr>
  </w:p>
  <w:p w:rsidR="00602099" w:rsidRDefault="008F6D06" w:rsidP="00745E3B">
    <w:pPr>
      <w:pStyle w:val="Footer"/>
      <w:rPr>
        <w:rFonts w:ascii="Arial" w:eastAsia="Times New Roman" w:hAnsi="Arial" w:cs="Times New Roman"/>
        <w:sz w:val="16"/>
        <w:szCs w:val="16"/>
        <w:lang w:val="en-US" w:eastAsia="en-GB"/>
      </w:rPr>
    </w:pPr>
    <w:r w:rsidRPr="00926511">
      <w:rPr>
        <w:rFonts w:ascii="Arial" w:eastAsia="Times New Roman" w:hAnsi="Arial" w:cs="Times New Roman"/>
        <w:sz w:val="16"/>
        <w:szCs w:val="16"/>
        <w:lang w:val="en-US" w:eastAsia="en-GB"/>
      </w:rPr>
      <w:t>The Critical Care ODN is part of the East of England ODN which is hosted by Cambridge University Hospitals NHS Foundation Trust</w:t>
    </w:r>
    <w:r>
      <w:rPr>
        <w:rFonts w:ascii="Arial" w:eastAsia="Times New Roman" w:hAnsi="Arial" w:cs="Times New Roman"/>
        <w:sz w:val="16"/>
        <w:szCs w:val="16"/>
        <w:lang w:val="en-US" w:eastAsia="en-GB"/>
      </w:rPr>
      <w:t xml:space="preserve"> </w:t>
    </w:r>
  </w:p>
  <w:p w:rsidR="00602099" w:rsidRPr="00926511" w:rsidRDefault="00D50DE9" w:rsidP="00745E3B">
    <w:pPr>
      <w:pStyle w:val="Footer"/>
      <w:rPr>
        <w:rFonts w:ascii="Arial" w:eastAsia="Times New Roman" w:hAnsi="Arial" w:cs="Times New Roman"/>
        <w:sz w:val="16"/>
        <w:szCs w:val="16"/>
        <w:lang w:val="en-US" w:eastAsia="en-GB"/>
      </w:rPr>
    </w:pPr>
  </w:p>
  <w:sdt>
    <w:sdtPr>
      <w:id w:val="1328945030"/>
      <w:docPartObj>
        <w:docPartGallery w:val="Page Numbers (Top of Page)"/>
        <w:docPartUnique/>
      </w:docPartObj>
    </w:sdtPr>
    <w:sdtEndPr/>
    <w:sdtContent>
      <w:p w:rsidR="00602099" w:rsidRDefault="008F6D06">
        <w:r>
          <w:t xml:space="preserve">Page </w:t>
        </w:r>
        <w:r>
          <w:fldChar w:fldCharType="begin"/>
        </w:r>
        <w:r>
          <w:instrText xml:space="preserve"> PAGE </w:instrText>
        </w:r>
        <w:r>
          <w:fldChar w:fldCharType="separate"/>
        </w:r>
        <w:r w:rsidR="00D50DE9">
          <w:rPr>
            <w:noProof/>
          </w:rPr>
          <w:t>2</w:t>
        </w:r>
        <w:r>
          <w:rPr>
            <w:noProof/>
          </w:rPr>
          <w:fldChar w:fldCharType="end"/>
        </w:r>
        <w:r>
          <w:t xml:space="preserve"> of </w:t>
        </w:r>
        <w:r w:rsidR="00D50DE9">
          <w:fldChar w:fldCharType="begin"/>
        </w:r>
        <w:r w:rsidR="00D50DE9">
          <w:instrText xml:space="preserve"> NUMPAGES  </w:instrText>
        </w:r>
        <w:r w:rsidR="00D50DE9">
          <w:fldChar w:fldCharType="separate"/>
        </w:r>
        <w:r w:rsidR="00D50DE9">
          <w:rPr>
            <w:noProof/>
          </w:rPr>
          <w:t>12</w:t>
        </w:r>
        <w:r w:rsidR="00D50DE9">
          <w:rPr>
            <w:noProof/>
          </w:rPr>
          <w:fldChar w:fldCharType="end"/>
        </w:r>
      </w:p>
    </w:sdtContent>
  </w:sdt>
  <w:p w:rsidR="00602099" w:rsidRDefault="00D50DE9" w:rsidP="00745E3B">
    <w:pPr>
      <w:pStyle w:val="Footer"/>
    </w:pPr>
  </w:p>
  <w:p w:rsidR="00602099" w:rsidRDefault="00D50DE9">
    <w:pPr>
      <w:pStyle w:val="Footer"/>
    </w:pPr>
  </w:p>
  <w:p w:rsidR="00602099" w:rsidRDefault="00D50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06" w:rsidRDefault="008F6D06" w:rsidP="00745E3B">
      <w:pPr>
        <w:spacing w:after="0" w:line="240" w:lineRule="auto"/>
      </w:pPr>
      <w:r>
        <w:separator/>
      </w:r>
    </w:p>
  </w:footnote>
  <w:footnote w:type="continuationSeparator" w:id="0">
    <w:p w:rsidR="008F6D06" w:rsidRDefault="008F6D06" w:rsidP="00745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4A"/>
    <w:multiLevelType w:val="multilevel"/>
    <w:tmpl w:val="F8FEB2A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D7785"/>
    <w:multiLevelType w:val="multilevel"/>
    <w:tmpl w:val="CE484F9C"/>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4556EE6"/>
    <w:multiLevelType w:val="multilevel"/>
    <w:tmpl w:val="FD46000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9B5B2A"/>
    <w:multiLevelType w:val="hybridMultilevel"/>
    <w:tmpl w:val="A322C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6C74034"/>
    <w:multiLevelType w:val="multilevel"/>
    <w:tmpl w:val="F604AD1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E33C00"/>
    <w:multiLevelType w:val="multilevel"/>
    <w:tmpl w:val="60589F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24541"/>
    <w:multiLevelType w:val="hybridMultilevel"/>
    <w:tmpl w:val="420C5316"/>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7" w15:restartNumberingAfterBreak="0">
    <w:nsid w:val="1A2949A7"/>
    <w:multiLevelType w:val="multilevel"/>
    <w:tmpl w:val="7656513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C804F9"/>
    <w:multiLevelType w:val="multilevel"/>
    <w:tmpl w:val="388A67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E1AF2"/>
    <w:multiLevelType w:val="multilevel"/>
    <w:tmpl w:val="FE22E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E12FCB"/>
    <w:multiLevelType w:val="multilevel"/>
    <w:tmpl w:val="388A67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B60B66"/>
    <w:multiLevelType w:val="multilevel"/>
    <w:tmpl w:val="60589F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C24A4A"/>
    <w:multiLevelType w:val="hybridMultilevel"/>
    <w:tmpl w:val="69AA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A1F3F"/>
    <w:multiLevelType w:val="multilevel"/>
    <w:tmpl w:val="3998FF38"/>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F5282F"/>
    <w:multiLevelType w:val="hybridMultilevel"/>
    <w:tmpl w:val="FEC6A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608C8"/>
    <w:multiLevelType w:val="multilevel"/>
    <w:tmpl w:val="CE484F9C"/>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1634E5D"/>
    <w:multiLevelType w:val="multilevel"/>
    <w:tmpl w:val="036CAE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97272F"/>
    <w:multiLevelType w:val="multilevel"/>
    <w:tmpl w:val="6D282A1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firstLine="0"/>
      </w:pPr>
      <w:rPr>
        <w:rFonts w:hint="default"/>
      </w:rPr>
    </w:lvl>
    <w:lvl w:ilvl="2">
      <w:start w:val="1"/>
      <w:numFmt w:val="decimal"/>
      <w:pStyle w:val="Heading3"/>
      <w:lvlText w:val="%1.%2.%3."/>
      <w:lvlJc w:val="left"/>
      <w:pPr>
        <w:ind w:left="1440" w:firstLine="0"/>
      </w:pPr>
      <w:rPr>
        <w:rFonts w:hint="default"/>
      </w:rPr>
    </w:lvl>
    <w:lvl w:ilvl="3">
      <w:start w:val="1"/>
      <w:numFmt w:val="decimal"/>
      <w:pStyle w:val="Heading4"/>
      <w:lvlText w:val="%1.%2.%3.%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364F2C5A"/>
    <w:multiLevelType w:val="multilevel"/>
    <w:tmpl w:val="388A67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C22879"/>
    <w:multiLevelType w:val="multilevel"/>
    <w:tmpl w:val="FD1470A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8D708C"/>
    <w:multiLevelType w:val="hybridMultilevel"/>
    <w:tmpl w:val="FE22E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C2D89"/>
    <w:multiLevelType w:val="multilevel"/>
    <w:tmpl w:val="F8FEB2A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CC465C"/>
    <w:multiLevelType w:val="multilevel"/>
    <w:tmpl w:val="05B2B956"/>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E25C1A"/>
    <w:multiLevelType w:val="multilevel"/>
    <w:tmpl w:val="05B2B956"/>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04078"/>
    <w:multiLevelType w:val="multilevel"/>
    <w:tmpl w:val="60589F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B51868"/>
    <w:multiLevelType w:val="multilevel"/>
    <w:tmpl w:val="7656513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A0062B"/>
    <w:multiLevelType w:val="multilevel"/>
    <w:tmpl w:val="F604AD1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C32362"/>
    <w:multiLevelType w:val="multilevel"/>
    <w:tmpl w:val="2FE61A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402AC0"/>
    <w:multiLevelType w:val="hybridMultilevel"/>
    <w:tmpl w:val="6448ACB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35E5"/>
    <w:multiLevelType w:val="multilevel"/>
    <w:tmpl w:val="DC0EB9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D1B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C70217"/>
    <w:multiLevelType w:val="multilevel"/>
    <w:tmpl w:val="60589F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C7081C"/>
    <w:multiLevelType w:val="multilevel"/>
    <w:tmpl w:val="8FCCF2D0"/>
    <w:lvl w:ilvl="0">
      <w:start w:val="1"/>
      <w:numFmt w:val="decimal"/>
      <w:lvlText w:val="%1.0"/>
      <w:lvlJc w:val="left"/>
      <w:pPr>
        <w:ind w:left="959"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BD72795"/>
    <w:multiLevelType w:val="multilevel"/>
    <w:tmpl w:val="388A67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6403DF"/>
    <w:multiLevelType w:val="multilevel"/>
    <w:tmpl w:val="BE0EB5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955743"/>
    <w:multiLevelType w:val="multilevel"/>
    <w:tmpl w:val="FD1470A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2"/>
  </w:num>
  <w:num w:numId="3">
    <w:abstractNumId w:val="12"/>
  </w:num>
  <w:num w:numId="4">
    <w:abstractNumId w:val="6"/>
  </w:num>
  <w:num w:numId="5">
    <w:abstractNumId w:val="14"/>
  </w:num>
  <w:num w:numId="6">
    <w:abstractNumId w:val="17"/>
  </w:num>
  <w:num w:numId="7">
    <w:abstractNumId w:val="30"/>
  </w:num>
  <w:num w:numId="8">
    <w:abstractNumId w:val="13"/>
  </w:num>
  <w:num w:numId="9">
    <w:abstractNumId w:val="16"/>
  </w:num>
  <w:num w:numId="10">
    <w:abstractNumId w:val="31"/>
  </w:num>
  <w:num w:numId="11">
    <w:abstractNumId w:val="15"/>
  </w:num>
  <w:num w:numId="12">
    <w:abstractNumId w:val="1"/>
  </w:num>
  <w:num w:numId="13">
    <w:abstractNumId w:val="29"/>
  </w:num>
  <w:num w:numId="14">
    <w:abstractNumId w:val="11"/>
  </w:num>
  <w:num w:numId="15">
    <w:abstractNumId w:val="34"/>
  </w:num>
  <w:num w:numId="16">
    <w:abstractNumId w:val="24"/>
  </w:num>
  <w:num w:numId="17">
    <w:abstractNumId w:val="4"/>
  </w:num>
  <w:num w:numId="18">
    <w:abstractNumId w:val="26"/>
  </w:num>
  <w:num w:numId="19">
    <w:abstractNumId w:val="23"/>
  </w:num>
  <w:num w:numId="20">
    <w:abstractNumId w:val="22"/>
  </w:num>
  <w:num w:numId="21">
    <w:abstractNumId w:val="2"/>
  </w:num>
  <w:num w:numId="22">
    <w:abstractNumId w:val="17"/>
  </w:num>
  <w:num w:numId="23">
    <w:abstractNumId w:val="5"/>
  </w:num>
  <w:num w:numId="24">
    <w:abstractNumId w:val="7"/>
  </w:num>
  <w:num w:numId="25">
    <w:abstractNumId w:val="17"/>
  </w:num>
  <w:num w:numId="26">
    <w:abstractNumId w:val="25"/>
  </w:num>
  <w:num w:numId="27">
    <w:abstractNumId w:val="33"/>
  </w:num>
  <w:num w:numId="28">
    <w:abstractNumId w:val="18"/>
  </w:num>
  <w:num w:numId="29">
    <w:abstractNumId w:val="20"/>
  </w:num>
  <w:num w:numId="30">
    <w:abstractNumId w:val="9"/>
  </w:num>
  <w:num w:numId="31">
    <w:abstractNumId w:val="28"/>
  </w:num>
  <w:num w:numId="32">
    <w:abstractNumId w:val="8"/>
  </w:num>
  <w:num w:numId="33">
    <w:abstractNumId w:val="17"/>
  </w:num>
  <w:num w:numId="34">
    <w:abstractNumId w:val="10"/>
  </w:num>
  <w:num w:numId="35">
    <w:abstractNumId w:val="21"/>
  </w:num>
  <w:num w:numId="36">
    <w:abstractNumId w:val="17"/>
  </w:num>
  <w:num w:numId="37">
    <w:abstractNumId w:val="0"/>
  </w:num>
  <w:num w:numId="38">
    <w:abstractNumId w:val="35"/>
  </w:num>
  <w:num w:numId="39">
    <w:abstractNumId w:val="17"/>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3B"/>
    <w:rsid w:val="0005226A"/>
    <w:rsid w:val="00062F6F"/>
    <w:rsid w:val="000B5A84"/>
    <w:rsid w:val="000D16AA"/>
    <w:rsid w:val="000E36A9"/>
    <w:rsid w:val="00107F36"/>
    <w:rsid w:val="00234AAC"/>
    <w:rsid w:val="00241FE1"/>
    <w:rsid w:val="0024244A"/>
    <w:rsid w:val="00270030"/>
    <w:rsid w:val="003B1CBB"/>
    <w:rsid w:val="00421706"/>
    <w:rsid w:val="00445A87"/>
    <w:rsid w:val="004C58F3"/>
    <w:rsid w:val="004D1F37"/>
    <w:rsid w:val="0053373E"/>
    <w:rsid w:val="00591BB7"/>
    <w:rsid w:val="00614961"/>
    <w:rsid w:val="00656732"/>
    <w:rsid w:val="006C740F"/>
    <w:rsid w:val="00745E3B"/>
    <w:rsid w:val="007C0579"/>
    <w:rsid w:val="008935E9"/>
    <w:rsid w:val="008B4F9A"/>
    <w:rsid w:val="008F6D06"/>
    <w:rsid w:val="00926C4B"/>
    <w:rsid w:val="009A795F"/>
    <w:rsid w:val="00A90741"/>
    <w:rsid w:val="00AD2CCE"/>
    <w:rsid w:val="00B61E18"/>
    <w:rsid w:val="00D50DE9"/>
    <w:rsid w:val="00EA6ABD"/>
    <w:rsid w:val="00EF18A9"/>
    <w:rsid w:val="00F25633"/>
    <w:rsid w:val="00F65E83"/>
    <w:rsid w:val="00FB3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63DB0"/>
  <w15:docId w15:val="{180ACE8D-A960-4C86-9A62-2E1F74F6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A"/>
  </w:style>
  <w:style w:type="paragraph" w:styleId="Heading1">
    <w:name w:val="heading 1"/>
    <w:basedOn w:val="Normal"/>
    <w:next w:val="Normal"/>
    <w:link w:val="Heading1Char"/>
    <w:uiPriority w:val="9"/>
    <w:qFormat/>
    <w:rsid w:val="006B189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189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57A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57A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57AC"/>
    <w:pPr>
      <w:keepNext/>
      <w:keepLines/>
      <w:numPr>
        <w:ilvl w:val="4"/>
        <w:numId w:val="6"/>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CC57AC"/>
    <w:pPr>
      <w:keepNext/>
      <w:keepLines/>
      <w:numPr>
        <w:ilvl w:val="5"/>
        <w:numId w:val="6"/>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CC57A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57AC"/>
    <w:pPr>
      <w:keepNext/>
      <w:keepLines/>
      <w:numPr>
        <w:ilvl w:val="7"/>
        <w:numId w:val="6"/>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CC57AC"/>
    <w:pPr>
      <w:keepNext/>
      <w:keepLines/>
      <w:numPr>
        <w:ilvl w:val="8"/>
        <w:numId w:val="6"/>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3B"/>
  </w:style>
  <w:style w:type="paragraph" w:styleId="Footer">
    <w:name w:val="footer"/>
    <w:basedOn w:val="Normal"/>
    <w:link w:val="FooterChar"/>
    <w:uiPriority w:val="99"/>
    <w:unhideWhenUsed/>
    <w:rsid w:val="0074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3B"/>
  </w:style>
  <w:style w:type="paragraph" w:styleId="BalloonText">
    <w:name w:val="Balloon Text"/>
    <w:basedOn w:val="Normal"/>
    <w:link w:val="BalloonTextChar"/>
    <w:uiPriority w:val="99"/>
    <w:semiHidden/>
    <w:unhideWhenUsed/>
    <w:rsid w:val="0074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3B"/>
    <w:rPr>
      <w:rFonts w:ascii="Tahoma" w:hAnsi="Tahoma" w:cs="Tahoma"/>
      <w:sz w:val="16"/>
      <w:szCs w:val="16"/>
    </w:rPr>
  </w:style>
  <w:style w:type="paragraph" w:styleId="ListParagraph">
    <w:name w:val="List Paragraph"/>
    <w:basedOn w:val="Normal"/>
    <w:uiPriority w:val="34"/>
    <w:qFormat/>
    <w:rsid w:val="004929DE"/>
    <w:pPr>
      <w:ind w:left="720"/>
      <w:contextualSpacing/>
    </w:pPr>
  </w:style>
  <w:style w:type="character" w:styleId="Hyperlink">
    <w:name w:val="Hyperlink"/>
    <w:basedOn w:val="DefaultParagraphFont"/>
    <w:uiPriority w:val="99"/>
    <w:unhideWhenUsed/>
    <w:rsid w:val="0081548C"/>
    <w:rPr>
      <w:color w:val="0000FF" w:themeColor="hyperlink"/>
      <w:u w:val="single"/>
    </w:rPr>
  </w:style>
  <w:style w:type="table" w:styleId="TableGrid">
    <w:name w:val="Table Grid"/>
    <w:basedOn w:val="TableNormal"/>
    <w:uiPriority w:val="59"/>
    <w:rsid w:val="001F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18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1892"/>
    <w:pPr>
      <w:spacing w:after="0" w:line="240" w:lineRule="auto"/>
    </w:pPr>
  </w:style>
  <w:style w:type="character" w:customStyle="1" w:styleId="Heading2Char">
    <w:name w:val="Heading 2 Char"/>
    <w:basedOn w:val="DefaultParagraphFont"/>
    <w:link w:val="Heading2"/>
    <w:uiPriority w:val="9"/>
    <w:rsid w:val="006B18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57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57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57AC"/>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CC57AC"/>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CC57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57AC"/>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CC57AC"/>
    <w:rPr>
      <w:rFonts w:asciiTheme="majorHAnsi" w:eastAsiaTheme="majorEastAsia" w:hAnsiTheme="majorHAnsi" w:cstheme="majorBidi"/>
      <w:i/>
      <w:iCs/>
      <w:color w:val="363636" w:themeColor="text1" w:themeTint="C9"/>
      <w:sz w:val="20"/>
      <w:szCs w:val="20"/>
    </w:rPr>
  </w:style>
  <w:style w:type="paragraph" w:customStyle="1" w:styleId="SubHeading">
    <w:name w:val="SubHeading"/>
    <w:basedOn w:val="Heading1"/>
    <w:qFormat/>
    <w:rsid w:val="005465FD"/>
    <w:pPr>
      <w:ind w:left="993" w:hanging="426"/>
    </w:pPr>
    <w:rPr>
      <w:rFonts w:ascii="Verdana" w:eastAsiaTheme="minorHAnsi" w:hAnsi="Verdana" w:cstheme="minorBidi"/>
      <w:b w:val="0"/>
      <w:bCs w:val="0"/>
      <w:color w:val="auto"/>
      <w:sz w:val="22"/>
      <w:szCs w:val="22"/>
    </w:rPr>
  </w:style>
  <w:style w:type="paragraph" w:styleId="TOC1">
    <w:name w:val="toc 1"/>
    <w:basedOn w:val="Normal"/>
    <w:next w:val="Normal"/>
    <w:autoRedefine/>
    <w:uiPriority w:val="39"/>
    <w:rsid w:val="00602099"/>
    <w:pPr>
      <w:spacing w:before="120" w:after="0"/>
    </w:pPr>
    <w:rPr>
      <w:b/>
      <w:sz w:val="24"/>
      <w:szCs w:val="24"/>
    </w:rPr>
  </w:style>
  <w:style w:type="paragraph" w:styleId="TOC2">
    <w:name w:val="toc 2"/>
    <w:basedOn w:val="Normal"/>
    <w:next w:val="Normal"/>
    <w:autoRedefine/>
    <w:uiPriority w:val="39"/>
    <w:rsid w:val="00602099"/>
    <w:pPr>
      <w:spacing w:after="0"/>
      <w:ind w:left="220"/>
    </w:pPr>
    <w:rPr>
      <w:b/>
    </w:rPr>
  </w:style>
  <w:style w:type="paragraph" w:styleId="TOC3">
    <w:name w:val="toc 3"/>
    <w:basedOn w:val="Normal"/>
    <w:next w:val="Normal"/>
    <w:autoRedefine/>
    <w:uiPriority w:val="39"/>
    <w:rsid w:val="00602099"/>
    <w:pPr>
      <w:spacing w:after="0"/>
      <w:ind w:left="440"/>
    </w:pPr>
  </w:style>
  <w:style w:type="paragraph" w:styleId="TOC4">
    <w:name w:val="toc 4"/>
    <w:basedOn w:val="Normal"/>
    <w:next w:val="Normal"/>
    <w:autoRedefine/>
    <w:uiPriority w:val="39"/>
    <w:rsid w:val="00602099"/>
    <w:pPr>
      <w:spacing w:after="0"/>
      <w:ind w:left="660"/>
    </w:pPr>
    <w:rPr>
      <w:sz w:val="20"/>
      <w:szCs w:val="20"/>
    </w:rPr>
  </w:style>
  <w:style w:type="paragraph" w:styleId="TOC5">
    <w:name w:val="toc 5"/>
    <w:basedOn w:val="Normal"/>
    <w:next w:val="Normal"/>
    <w:autoRedefine/>
    <w:uiPriority w:val="39"/>
    <w:rsid w:val="00602099"/>
    <w:pPr>
      <w:spacing w:after="0"/>
      <w:ind w:left="880"/>
    </w:pPr>
    <w:rPr>
      <w:sz w:val="20"/>
      <w:szCs w:val="20"/>
    </w:rPr>
  </w:style>
  <w:style w:type="paragraph" w:styleId="TOC6">
    <w:name w:val="toc 6"/>
    <w:basedOn w:val="Normal"/>
    <w:next w:val="Normal"/>
    <w:autoRedefine/>
    <w:uiPriority w:val="39"/>
    <w:rsid w:val="00602099"/>
    <w:pPr>
      <w:spacing w:after="0"/>
      <w:ind w:left="1100"/>
    </w:pPr>
    <w:rPr>
      <w:sz w:val="20"/>
      <w:szCs w:val="20"/>
    </w:rPr>
  </w:style>
  <w:style w:type="paragraph" w:styleId="TOC7">
    <w:name w:val="toc 7"/>
    <w:basedOn w:val="Normal"/>
    <w:next w:val="Normal"/>
    <w:autoRedefine/>
    <w:uiPriority w:val="39"/>
    <w:rsid w:val="00602099"/>
    <w:pPr>
      <w:spacing w:after="0"/>
      <w:ind w:left="1320"/>
    </w:pPr>
    <w:rPr>
      <w:sz w:val="20"/>
      <w:szCs w:val="20"/>
    </w:rPr>
  </w:style>
  <w:style w:type="paragraph" w:styleId="TOC8">
    <w:name w:val="toc 8"/>
    <w:basedOn w:val="Normal"/>
    <w:next w:val="Normal"/>
    <w:autoRedefine/>
    <w:uiPriority w:val="39"/>
    <w:rsid w:val="00602099"/>
    <w:pPr>
      <w:spacing w:after="0"/>
      <w:ind w:left="1540"/>
    </w:pPr>
    <w:rPr>
      <w:sz w:val="20"/>
      <w:szCs w:val="20"/>
    </w:rPr>
  </w:style>
  <w:style w:type="paragraph" w:styleId="TOC9">
    <w:name w:val="toc 9"/>
    <w:basedOn w:val="Normal"/>
    <w:next w:val="Normal"/>
    <w:autoRedefine/>
    <w:uiPriority w:val="39"/>
    <w:rsid w:val="00602099"/>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2235">
      <w:bodyDiv w:val="1"/>
      <w:marLeft w:val="0"/>
      <w:marRight w:val="0"/>
      <w:marTop w:val="0"/>
      <w:marBottom w:val="0"/>
      <w:divBdr>
        <w:top w:val="none" w:sz="0" w:space="0" w:color="auto"/>
        <w:left w:val="none" w:sz="0" w:space="0" w:color="auto"/>
        <w:bottom w:val="none" w:sz="0" w:space="0" w:color="auto"/>
        <w:right w:val="none" w:sz="0" w:space="0" w:color="auto"/>
      </w:divBdr>
    </w:div>
    <w:div w:id="493910867">
      <w:bodyDiv w:val="1"/>
      <w:marLeft w:val="0"/>
      <w:marRight w:val="0"/>
      <w:marTop w:val="0"/>
      <w:marBottom w:val="0"/>
      <w:divBdr>
        <w:top w:val="none" w:sz="0" w:space="0" w:color="auto"/>
        <w:left w:val="none" w:sz="0" w:space="0" w:color="auto"/>
        <w:bottom w:val="none" w:sz="0" w:space="0" w:color="auto"/>
        <w:right w:val="none" w:sz="0" w:space="0" w:color="auto"/>
      </w:divBdr>
      <w:divsChild>
        <w:div w:id="380714925">
          <w:marLeft w:val="0"/>
          <w:marRight w:val="0"/>
          <w:marTop w:val="0"/>
          <w:marBottom w:val="0"/>
          <w:divBdr>
            <w:top w:val="none" w:sz="0" w:space="0" w:color="auto"/>
            <w:left w:val="none" w:sz="0" w:space="0" w:color="auto"/>
            <w:bottom w:val="none" w:sz="0" w:space="0" w:color="auto"/>
            <w:right w:val="none" w:sz="0" w:space="0" w:color="auto"/>
          </w:divBdr>
        </w:div>
        <w:div w:id="2111507267">
          <w:marLeft w:val="0"/>
          <w:marRight w:val="0"/>
          <w:marTop w:val="0"/>
          <w:marBottom w:val="0"/>
          <w:divBdr>
            <w:top w:val="none" w:sz="0" w:space="0" w:color="auto"/>
            <w:left w:val="none" w:sz="0" w:space="0" w:color="auto"/>
            <w:bottom w:val="none" w:sz="0" w:space="0" w:color="auto"/>
            <w:right w:val="none" w:sz="0" w:space="0" w:color="auto"/>
          </w:divBdr>
        </w:div>
      </w:divsChild>
    </w:div>
    <w:div w:id="525213969">
      <w:bodyDiv w:val="1"/>
      <w:marLeft w:val="0"/>
      <w:marRight w:val="0"/>
      <w:marTop w:val="0"/>
      <w:marBottom w:val="0"/>
      <w:divBdr>
        <w:top w:val="none" w:sz="0" w:space="0" w:color="auto"/>
        <w:left w:val="none" w:sz="0" w:space="0" w:color="auto"/>
        <w:bottom w:val="none" w:sz="0" w:space="0" w:color="auto"/>
        <w:right w:val="none" w:sz="0" w:space="0" w:color="auto"/>
      </w:divBdr>
    </w:div>
    <w:div w:id="527716210">
      <w:bodyDiv w:val="1"/>
      <w:marLeft w:val="0"/>
      <w:marRight w:val="0"/>
      <w:marTop w:val="0"/>
      <w:marBottom w:val="0"/>
      <w:divBdr>
        <w:top w:val="none" w:sz="0" w:space="0" w:color="auto"/>
        <w:left w:val="none" w:sz="0" w:space="0" w:color="auto"/>
        <w:bottom w:val="none" w:sz="0" w:space="0" w:color="auto"/>
        <w:right w:val="none" w:sz="0" w:space="0" w:color="auto"/>
      </w:divBdr>
    </w:div>
    <w:div w:id="600071608">
      <w:bodyDiv w:val="1"/>
      <w:marLeft w:val="0"/>
      <w:marRight w:val="0"/>
      <w:marTop w:val="0"/>
      <w:marBottom w:val="0"/>
      <w:divBdr>
        <w:top w:val="none" w:sz="0" w:space="0" w:color="auto"/>
        <w:left w:val="none" w:sz="0" w:space="0" w:color="auto"/>
        <w:bottom w:val="none" w:sz="0" w:space="0" w:color="auto"/>
        <w:right w:val="none" w:sz="0" w:space="0" w:color="auto"/>
      </w:divBdr>
    </w:div>
    <w:div w:id="625238951">
      <w:bodyDiv w:val="1"/>
      <w:marLeft w:val="0"/>
      <w:marRight w:val="0"/>
      <w:marTop w:val="0"/>
      <w:marBottom w:val="0"/>
      <w:divBdr>
        <w:top w:val="none" w:sz="0" w:space="0" w:color="auto"/>
        <w:left w:val="none" w:sz="0" w:space="0" w:color="auto"/>
        <w:bottom w:val="none" w:sz="0" w:space="0" w:color="auto"/>
        <w:right w:val="none" w:sz="0" w:space="0" w:color="auto"/>
      </w:divBdr>
    </w:div>
    <w:div w:id="749540322">
      <w:bodyDiv w:val="1"/>
      <w:marLeft w:val="0"/>
      <w:marRight w:val="0"/>
      <w:marTop w:val="0"/>
      <w:marBottom w:val="0"/>
      <w:divBdr>
        <w:top w:val="none" w:sz="0" w:space="0" w:color="auto"/>
        <w:left w:val="none" w:sz="0" w:space="0" w:color="auto"/>
        <w:bottom w:val="none" w:sz="0" w:space="0" w:color="auto"/>
        <w:right w:val="none" w:sz="0" w:space="0" w:color="auto"/>
      </w:divBdr>
    </w:div>
    <w:div w:id="1012223962">
      <w:bodyDiv w:val="1"/>
      <w:marLeft w:val="0"/>
      <w:marRight w:val="0"/>
      <w:marTop w:val="0"/>
      <w:marBottom w:val="0"/>
      <w:divBdr>
        <w:top w:val="none" w:sz="0" w:space="0" w:color="auto"/>
        <w:left w:val="none" w:sz="0" w:space="0" w:color="auto"/>
        <w:bottom w:val="none" w:sz="0" w:space="0" w:color="auto"/>
        <w:right w:val="none" w:sz="0" w:space="0" w:color="auto"/>
      </w:divBdr>
    </w:div>
    <w:div w:id="1182091195">
      <w:bodyDiv w:val="1"/>
      <w:marLeft w:val="0"/>
      <w:marRight w:val="0"/>
      <w:marTop w:val="0"/>
      <w:marBottom w:val="0"/>
      <w:divBdr>
        <w:top w:val="none" w:sz="0" w:space="0" w:color="auto"/>
        <w:left w:val="none" w:sz="0" w:space="0" w:color="auto"/>
        <w:bottom w:val="none" w:sz="0" w:space="0" w:color="auto"/>
        <w:right w:val="none" w:sz="0" w:space="0" w:color="auto"/>
      </w:divBdr>
    </w:div>
    <w:div w:id="1187402417">
      <w:bodyDiv w:val="1"/>
      <w:marLeft w:val="0"/>
      <w:marRight w:val="0"/>
      <w:marTop w:val="0"/>
      <w:marBottom w:val="0"/>
      <w:divBdr>
        <w:top w:val="none" w:sz="0" w:space="0" w:color="auto"/>
        <w:left w:val="none" w:sz="0" w:space="0" w:color="auto"/>
        <w:bottom w:val="none" w:sz="0" w:space="0" w:color="auto"/>
        <w:right w:val="none" w:sz="0" w:space="0" w:color="auto"/>
      </w:divBdr>
    </w:div>
    <w:div w:id="1293172257">
      <w:bodyDiv w:val="1"/>
      <w:marLeft w:val="0"/>
      <w:marRight w:val="0"/>
      <w:marTop w:val="0"/>
      <w:marBottom w:val="0"/>
      <w:divBdr>
        <w:top w:val="none" w:sz="0" w:space="0" w:color="auto"/>
        <w:left w:val="none" w:sz="0" w:space="0" w:color="auto"/>
        <w:bottom w:val="none" w:sz="0" w:space="0" w:color="auto"/>
        <w:right w:val="none" w:sz="0" w:space="0" w:color="auto"/>
      </w:divBdr>
    </w:div>
    <w:div w:id="1338730208">
      <w:bodyDiv w:val="1"/>
      <w:marLeft w:val="0"/>
      <w:marRight w:val="0"/>
      <w:marTop w:val="0"/>
      <w:marBottom w:val="0"/>
      <w:divBdr>
        <w:top w:val="none" w:sz="0" w:space="0" w:color="auto"/>
        <w:left w:val="none" w:sz="0" w:space="0" w:color="auto"/>
        <w:bottom w:val="none" w:sz="0" w:space="0" w:color="auto"/>
        <w:right w:val="none" w:sz="0" w:space="0" w:color="auto"/>
      </w:divBdr>
    </w:div>
    <w:div w:id="1480341349">
      <w:bodyDiv w:val="1"/>
      <w:marLeft w:val="0"/>
      <w:marRight w:val="0"/>
      <w:marTop w:val="0"/>
      <w:marBottom w:val="0"/>
      <w:divBdr>
        <w:top w:val="none" w:sz="0" w:space="0" w:color="auto"/>
        <w:left w:val="none" w:sz="0" w:space="0" w:color="auto"/>
        <w:bottom w:val="none" w:sz="0" w:space="0" w:color="auto"/>
        <w:right w:val="none" w:sz="0" w:space="0" w:color="auto"/>
      </w:divBdr>
    </w:div>
    <w:div w:id="1667325511">
      <w:bodyDiv w:val="1"/>
      <w:marLeft w:val="0"/>
      <w:marRight w:val="0"/>
      <w:marTop w:val="0"/>
      <w:marBottom w:val="0"/>
      <w:divBdr>
        <w:top w:val="none" w:sz="0" w:space="0" w:color="auto"/>
        <w:left w:val="none" w:sz="0" w:space="0" w:color="auto"/>
        <w:bottom w:val="none" w:sz="0" w:space="0" w:color="auto"/>
        <w:right w:val="none" w:sz="0" w:space="0" w:color="auto"/>
      </w:divBdr>
    </w:div>
    <w:div w:id="1952664487">
      <w:bodyDiv w:val="1"/>
      <w:marLeft w:val="0"/>
      <w:marRight w:val="0"/>
      <w:marTop w:val="0"/>
      <w:marBottom w:val="0"/>
      <w:divBdr>
        <w:top w:val="none" w:sz="0" w:space="0" w:color="auto"/>
        <w:left w:val="none" w:sz="0" w:space="0" w:color="auto"/>
        <w:bottom w:val="none" w:sz="0" w:space="0" w:color="auto"/>
        <w:right w:val="none" w:sz="0" w:space="0" w:color="auto"/>
      </w:divBdr>
    </w:div>
    <w:div w:id="1996883135">
      <w:bodyDiv w:val="1"/>
      <w:marLeft w:val="0"/>
      <w:marRight w:val="0"/>
      <w:marTop w:val="0"/>
      <w:marBottom w:val="0"/>
      <w:divBdr>
        <w:top w:val="none" w:sz="0" w:space="0" w:color="auto"/>
        <w:left w:val="none" w:sz="0" w:space="0" w:color="auto"/>
        <w:bottom w:val="none" w:sz="0" w:space="0" w:color="auto"/>
        <w:right w:val="none" w:sz="0" w:space="0" w:color="auto"/>
      </w:divBdr>
    </w:div>
    <w:div w:id="2020157364">
      <w:bodyDiv w:val="1"/>
      <w:marLeft w:val="0"/>
      <w:marRight w:val="0"/>
      <w:marTop w:val="0"/>
      <w:marBottom w:val="0"/>
      <w:divBdr>
        <w:top w:val="none" w:sz="0" w:space="0" w:color="auto"/>
        <w:left w:val="none" w:sz="0" w:space="0" w:color="auto"/>
        <w:bottom w:val="none" w:sz="0" w:space="0" w:color="auto"/>
        <w:right w:val="none" w:sz="0" w:space="0" w:color="auto"/>
      </w:divBdr>
    </w:div>
    <w:div w:id="20652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0961-3DA3-4153-A5F5-FA1196C6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Baker, Mandy</cp:lastModifiedBy>
  <cp:revision>2</cp:revision>
  <cp:lastPrinted>2016-12-20T14:49:00Z</cp:lastPrinted>
  <dcterms:created xsi:type="dcterms:W3CDTF">2021-02-08T12:40:00Z</dcterms:created>
  <dcterms:modified xsi:type="dcterms:W3CDTF">2021-02-08T12:40:00Z</dcterms:modified>
</cp:coreProperties>
</file>